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CB0175" w14:textId="77777777" w:rsidR="00C757E6" w:rsidRDefault="00A358A5">
      <w:pPr>
        <w:rPr>
          <w:rFonts w:ascii="黑体" w:eastAsia="黑体" w:hAnsi="黑体" w:cs="黑体"/>
          <w:sz w:val="32"/>
          <w:szCs w:val="32"/>
        </w:rPr>
      </w:pPr>
      <w:r>
        <w:rPr>
          <w:rFonts w:ascii="黑体" w:eastAsia="黑体" w:hAnsi="黑体" w:cs="黑体" w:hint="eastAsia"/>
          <w:sz w:val="32"/>
          <w:szCs w:val="32"/>
        </w:rPr>
        <w:t>附件1：</w:t>
      </w:r>
    </w:p>
    <w:p w14:paraId="5303BD9E" w14:textId="77777777" w:rsidR="00C757E6" w:rsidRDefault="00A358A5">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山西省2020年秸秆综合利用重点县项目</w:t>
      </w:r>
    </w:p>
    <w:p w14:paraId="518E479D" w14:textId="77777777" w:rsidR="00C757E6" w:rsidRDefault="00A358A5">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实施方案</w:t>
      </w:r>
    </w:p>
    <w:p w14:paraId="5A5E3D7B" w14:textId="77777777" w:rsidR="00C757E6" w:rsidRDefault="00C757E6">
      <w:pPr>
        <w:rPr>
          <w:rFonts w:ascii="仿宋" w:eastAsia="仿宋" w:hAnsi="仿宋" w:cs="仿宋"/>
          <w:sz w:val="32"/>
          <w:szCs w:val="32"/>
        </w:rPr>
      </w:pPr>
    </w:p>
    <w:p w14:paraId="6C6983A7" w14:textId="77777777" w:rsidR="00C757E6" w:rsidRDefault="00A358A5">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为实施好中央财政2020年秸秆综合利用重点县项目，根据农业农村部2020年秸秆利用补偿</w:t>
      </w:r>
      <w:proofErr w:type="gramStart"/>
      <w:r>
        <w:rPr>
          <w:rFonts w:ascii="仿宋" w:eastAsia="仿宋" w:hAnsi="仿宋" w:cs="仿宋" w:hint="eastAsia"/>
          <w:sz w:val="32"/>
          <w:szCs w:val="32"/>
        </w:rPr>
        <w:t>制度微信研讨会</w:t>
      </w:r>
      <w:proofErr w:type="gramEnd"/>
      <w:r>
        <w:rPr>
          <w:rFonts w:ascii="仿宋" w:eastAsia="仿宋" w:hAnsi="仿宋" w:cs="仿宋" w:hint="eastAsia"/>
          <w:sz w:val="32"/>
          <w:szCs w:val="32"/>
        </w:rPr>
        <w:t>精神以及农业农村部科技教育司《关于开展秸秆综合利用2019年度工作总结暨做好2020年度工作的函》、《山西省农业农村厅关于下达2020年中央农业生产发展和农业资源及生态保护补助资金计划的通知》（</w:t>
      </w:r>
      <w:proofErr w:type="gramStart"/>
      <w:r>
        <w:rPr>
          <w:rFonts w:ascii="仿宋" w:eastAsia="仿宋" w:hAnsi="仿宋" w:cs="仿宋" w:hint="eastAsia"/>
          <w:sz w:val="32"/>
          <w:szCs w:val="32"/>
        </w:rPr>
        <w:t>晋农计财</w:t>
      </w:r>
      <w:proofErr w:type="gramEnd"/>
      <w:r>
        <w:rPr>
          <w:rFonts w:ascii="仿宋" w:eastAsia="仿宋" w:hAnsi="仿宋" w:cs="仿宋" w:hint="eastAsia"/>
          <w:sz w:val="32"/>
          <w:szCs w:val="32"/>
        </w:rPr>
        <w:t>发〔2019〕78号）有关要求，结合我省实际，特制定本方案。</w:t>
      </w:r>
    </w:p>
    <w:p w14:paraId="26EC940E" w14:textId="77777777" w:rsidR="00C757E6" w:rsidRDefault="00A358A5">
      <w:pPr>
        <w:rPr>
          <w:rFonts w:ascii="黑体" w:eastAsia="黑体" w:hAnsi="黑体" w:cs="黑体"/>
          <w:sz w:val="32"/>
          <w:szCs w:val="32"/>
        </w:rPr>
      </w:pPr>
      <w:r>
        <w:rPr>
          <w:rFonts w:ascii="黑体" w:eastAsia="黑体" w:hAnsi="黑体" w:cs="黑体" w:hint="eastAsia"/>
          <w:sz w:val="32"/>
          <w:szCs w:val="32"/>
        </w:rPr>
        <w:t>一、指导思想</w:t>
      </w:r>
    </w:p>
    <w:p w14:paraId="5CF8B6A0"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以习近平新时代中国特色社会主义思想为指导，牢固树立新发展理念，坚持因地制宜、就地就近、农用优先、多元利用、政府引导、市场运作原则，以提高秸秆综合利用率、推动秸秆全</w:t>
      </w:r>
      <w:proofErr w:type="gramStart"/>
      <w:r>
        <w:rPr>
          <w:rFonts w:ascii="仿宋" w:eastAsia="仿宋" w:hAnsi="仿宋" w:cs="仿宋" w:hint="eastAsia"/>
          <w:sz w:val="32"/>
          <w:szCs w:val="32"/>
        </w:rPr>
        <w:t>量利用</w:t>
      </w:r>
      <w:proofErr w:type="gramEnd"/>
      <w:r>
        <w:rPr>
          <w:rFonts w:ascii="仿宋" w:eastAsia="仿宋" w:hAnsi="仿宋" w:cs="仿宋" w:hint="eastAsia"/>
          <w:sz w:val="32"/>
          <w:szCs w:val="32"/>
        </w:rPr>
        <w:t>为目标，建设秸秆综合利用重点县为抓手，探索秸秆综合利用技术路线、模式和机制，通过政府政策引导，财政资金带动，整县集中推进，不断提升全省秸秆综合利用水平，改善农业农村生态环境，促进农业绿色、高质量、可持续发展。</w:t>
      </w:r>
    </w:p>
    <w:p w14:paraId="4C82F449" w14:textId="77777777" w:rsidR="00C757E6" w:rsidRDefault="00A358A5">
      <w:pPr>
        <w:ind w:firstLineChars="200" w:firstLine="640"/>
        <w:rPr>
          <w:rFonts w:ascii="黑体" w:eastAsia="黑体" w:hAnsi="黑体" w:cs="黑体"/>
          <w:sz w:val="32"/>
          <w:szCs w:val="32"/>
        </w:rPr>
      </w:pPr>
      <w:r>
        <w:rPr>
          <w:rFonts w:ascii="黑体" w:eastAsia="黑体" w:hAnsi="黑体" w:cs="黑体" w:hint="eastAsia"/>
          <w:sz w:val="32"/>
          <w:szCs w:val="32"/>
        </w:rPr>
        <w:t>二、工作目标</w:t>
      </w:r>
    </w:p>
    <w:p w14:paraId="56E27E64"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遴选绛县、襄汾县、乡宁县、和顺县、阳高县、壶关县、</w:t>
      </w:r>
      <w:r>
        <w:rPr>
          <w:rFonts w:ascii="仿宋" w:eastAsia="仿宋" w:hAnsi="仿宋" w:cs="仿宋" w:hint="eastAsia"/>
          <w:sz w:val="32"/>
          <w:szCs w:val="32"/>
        </w:rPr>
        <w:lastRenderedPageBreak/>
        <w:t>神池县、代县、孝义市等9个县（市、区），作为秸秆综合利用重点县，整县推进秸秆综合利用，其中绛县、阳高县作为秸秆全</w:t>
      </w:r>
      <w:proofErr w:type="gramStart"/>
      <w:r>
        <w:rPr>
          <w:rFonts w:ascii="仿宋" w:eastAsia="仿宋" w:hAnsi="仿宋" w:cs="仿宋" w:hint="eastAsia"/>
          <w:sz w:val="32"/>
          <w:szCs w:val="32"/>
        </w:rPr>
        <w:t>量利用</w:t>
      </w:r>
      <w:proofErr w:type="gramEnd"/>
      <w:r>
        <w:rPr>
          <w:rFonts w:ascii="仿宋" w:eastAsia="仿宋" w:hAnsi="仿宋" w:cs="仿宋" w:hint="eastAsia"/>
          <w:sz w:val="32"/>
          <w:szCs w:val="32"/>
        </w:rPr>
        <w:t>试点县，积极探索秸秆全</w:t>
      </w:r>
      <w:proofErr w:type="gramStart"/>
      <w:r>
        <w:rPr>
          <w:rFonts w:ascii="仿宋" w:eastAsia="仿宋" w:hAnsi="仿宋" w:cs="仿宋" w:hint="eastAsia"/>
          <w:sz w:val="32"/>
          <w:szCs w:val="32"/>
        </w:rPr>
        <w:t>量利用</w:t>
      </w:r>
      <w:proofErr w:type="gramEnd"/>
      <w:r>
        <w:rPr>
          <w:rFonts w:ascii="仿宋" w:eastAsia="仿宋" w:hAnsi="仿宋" w:cs="仿宋" w:hint="eastAsia"/>
          <w:sz w:val="32"/>
          <w:szCs w:val="32"/>
        </w:rPr>
        <w:t>技术、模式、机制。</w:t>
      </w:r>
    </w:p>
    <w:p w14:paraId="4A17B56B"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通过项目建设，重点县大力开展秸秆直接还田和间接还田，耕地质量得到提高；加快培育秸秆收储运社会化服务组织，支持秸秆综合利用市场化主体发展，提升秸秆收储运和综合利用能力；推动形成布局合理、多元利用、产业链条完整的产业化发展格局，建立秸秆综合利用的长效运行机制。</w:t>
      </w:r>
    </w:p>
    <w:p w14:paraId="0A97A3B7"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项目完成后，重点县秸秆综合利用率达到90%以上或比上年提高5个百分点，杜绝露天焚烧，建立秸秆</w:t>
      </w:r>
      <w:proofErr w:type="gramStart"/>
      <w:r>
        <w:rPr>
          <w:rFonts w:ascii="仿宋" w:eastAsia="仿宋" w:hAnsi="仿宋" w:cs="仿宋" w:hint="eastAsia"/>
          <w:sz w:val="32"/>
          <w:szCs w:val="32"/>
        </w:rPr>
        <w:t>资源台</w:t>
      </w:r>
      <w:proofErr w:type="gramEnd"/>
      <w:r>
        <w:rPr>
          <w:rFonts w:ascii="仿宋" w:eastAsia="仿宋" w:hAnsi="仿宋" w:cs="仿宋" w:hint="eastAsia"/>
          <w:sz w:val="32"/>
          <w:szCs w:val="32"/>
        </w:rPr>
        <w:t>账，形成适合本地的秸秆综合利用技术清单和</w:t>
      </w:r>
      <w:proofErr w:type="gramStart"/>
      <w:r>
        <w:rPr>
          <w:rFonts w:ascii="仿宋" w:eastAsia="仿宋" w:hAnsi="仿宋" w:cs="仿宋" w:hint="eastAsia"/>
          <w:sz w:val="32"/>
          <w:szCs w:val="32"/>
        </w:rPr>
        <w:t>可</w:t>
      </w:r>
      <w:proofErr w:type="gramEnd"/>
      <w:r>
        <w:rPr>
          <w:rFonts w:ascii="仿宋" w:eastAsia="仿宋" w:hAnsi="仿宋" w:cs="仿宋" w:hint="eastAsia"/>
          <w:sz w:val="32"/>
          <w:szCs w:val="32"/>
        </w:rPr>
        <w:t>推广、可复制县域秸秆综合利用模式，其中秸秆全</w:t>
      </w:r>
      <w:proofErr w:type="gramStart"/>
      <w:r>
        <w:rPr>
          <w:rFonts w:ascii="仿宋" w:eastAsia="仿宋" w:hAnsi="仿宋" w:cs="仿宋" w:hint="eastAsia"/>
          <w:sz w:val="32"/>
          <w:szCs w:val="32"/>
        </w:rPr>
        <w:t>量利用样板县</w:t>
      </w:r>
      <w:proofErr w:type="gramEnd"/>
      <w:r>
        <w:rPr>
          <w:rFonts w:ascii="仿宋" w:eastAsia="仿宋" w:hAnsi="仿宋" w:cs="仿宋" w:hint="eastAsia"/>
          <w:sz w:val="32"/>
          <w:szCs w:val="32"/>
        </w:rPr>
        <w:t>基本实现秸秆全量利用。</w:t>
      </w:r>
    </w:p>
    <w:p w14:paraId="76704EC9" w14:textId="77777777" w:rsidR="00C757E6" w:rsidRDefault="00A358A5">
      <w:pPr>
        <w:ind w:firstLineChars="200" w:firstLine="640"/>
        <w:rPr>
          <w:rFonts w:ascii="黑体" w:eastAsia="黑体" w:hAnsi="黑体" w:cs="黑体"/>
          <w:sz w:val="32"/>
          <w:szCs w:val="32"/>
        </w:rPr>
      </w:pPr>
      <w:r>
        <w:rPr>
          <w:rFonts w:ascii="黑体" w:eastAsia="黑体" w:hAnsi="黑体" w:cs="黑体" w:hint="eastAsia"/>
          <w:sz w:val="32"/>
          <w:szCs w:val="32"/>
        </w:rPr>
        <w:t>三、基本原则</w:t>
      </w:r>
    </w:p>
    <w:p w14:paraId="4D8B74C6" w14:textId="77777777" w:rsidR="00C757E6" w:rsidRDefault="00A358A5" w:rsidP="00C757E6">
      <w:pPr>
        <w:ind w:firstLineChars="200" w:firstLine="643"/>
        <w:rPr>
          <w:rFonts w:ascii="仿宋" w:eastAsia="仿宋" w:hAnsi="仿宋" w:cs="仿宋"/>
          <w:sz w:val="32"/>
          <w:szCs w:val="32"/>
        </w:rPr>
      </w:pPr>
      <w:r>
        <w:rPr>
          <w:rFonts w:ascii="仿宋" w:eastAsia="仿宋" w:hAnsi="仿宋" w:cs="仿宋" w:hint="eastAsia"/>
          <w:b/>
          <w:bCs/>
          <w:sz w:val="32"/>
          <w:szCs w:val="32"/>
        </w:rPr>
        <w:t>1.集中连片、整县推进。</w:t>
      </w:r>
      <w:r>
        <w:rPr>
          <w:rFonts w:ascii="仿宋" w:eastAsia="仿宋" w:hAnsi="仿宋" w:cs="仿宋" w:hint="eastAsia"/>
          <w:sz w:val="32"/>
          <w:szCs w:val="32"/>
        </w:rPr>
        <w:t>整县推进秸秆综合利用,形成政策集聚效应，示范推广秸秆综合利用技术，带动提升区域秸秆综合利用水平。</w:t>
      </w:r>
    </w:p>
    <w:p w14:paraId="7A0B9E3A" w14:textId="77777777" w:rsidR="00C757E6" w:rsidRDefault="00A358A5" w:rsidP="00C757E6">
      <w:pPr>
        <w:ind w:firstLineChars="200" w:firstLine="643"/>
        <w:rPr>
          <w:rFonts w:ascii="仿宋" w:eastAsia="仿宋" w:hAnsi="仿宋" w:cs="仿宋"/>
          <w:sz w:val="32"/>
          <w:szCs w:val="32"/>
        </w:rPr>
      </w:pPr>
      <w:r>
        <w:rPr>
          <w:rFonts w:ascii="仿宋" w:eastAsia="仿宋" w:hAnsi="仿宋" w:cs="仿宋" w:hint="eastAsia"/>
          <w:b/>
          <w:bCs/>
          <w:sz w:val="32"/>
          <w:szCs w:val="32"/>
        </w:rPr>
        <w:t>2.农用优先、多元利用。</w:t>
      </w:r>
      <w:r>
        <w:rPr>
          <w:rFonts w:ascii="仿宋" w:eastAsia="仿宋" w:hAnsi="仿宋" w:cs="仿宋" w:hint="eastAsia"/>
          <w:sz w:val="32"/>
          <w:szCs w:val="32"/>
        </w:rPr>
        <w:t>坚持秸秆综合利用与农业生产相结合，科学确定秸秆综合利用的结构和方式，突出肥料化、饲料化、燃料化利用，提高秸秆综合利用的经济效益。</w:t>
      </w:r>
    </w:p>
    <w:p w14:paraId="2AC21028" w14:textId="77777777" w:rsidR="00C757E6" w:rsidRDefault="00A358A5" w:rsidP="00C757E6">
      <w:pPr>
        <w:ind w:firstLineChars="200" w:firstLine="643"/>
        <w:rPr>
          <w:rFonts w:ascii="仿宋" w:eastAsia="仿宋" w:hAnsi="仿宋" w:cs="仿宋"/>
          <w:sz w:val="32"/>
          <w:szCs w:val="32"/>
        </w:rPr>
      </w:pPr>
      <w:r>
        <w:rPr>
          <w:rFonts w:ascii="仿宋" w:eastAsia="仿宋" w:hAnsi="仿宋" w:cs="仿宋" w:hint="eastAsia"/>
          <w:b/>
          <w:bCs/>
          <w:sz w:val="32"/>
          <w:szCs w:val="32"/>
        </w:rPr>
        <w:t>3.政策引导、市场运作。</w:t>
      </w:r>
      <w:r>
        <w:rPr>
          <w:rFonts w:ascii="仿宋" w:eastAsia="仿宋" w:hAnsi="仿宋" w:cs="仿宋" w:hint="eastAsia"/>
          <w:sz w:val="32"/>
          <w:szCs w:val="32"/>
        </w:rPr>
        <w:t>通过政府培育环境、政策引导，激发秸秆还田、离田、加工利用等环节市场主体活力，打通利益链，形成产业链，调动全社会参与积极性，实现多方共赢。</w:t>
      </w:r>
    </w:p>
    <w:p w14:paraId="71F29662" w14:textId="77777777" w:rsidR="00C757E6" w:rsidRDefault="00A358A5" w:rsidP="00C757E6">
      <w:pPr>
        <w:ind w:firstLineChars="200" w:firstLine="643"/>
        <w:rPr>
          <w:rFonts w:ascii="仿宋" w:eastAsia="仿宋" w:hAnsi="仿宋" w:cs="仿宋"/>
          <w:sz w:val="32"/>
          <w:szCs w:val="32"/>
        </w:rPr>
      </w:pPr>
      <w:r>
        <w:rPr>
          <w:rFonts w:ascii="仿宋" w:eastAsia="仿宋" w:hAnsi="仿宋" w:cs="仿宋" w:hint="eastAsia"/>
          <w:b/>
          <w:bCs/>
          <w:sz w:val="32"/>
          <w:szCs w:val="32"/>
        </w:rPr>
        <w:t>4.提升能力、长效运行。</w:t>
      </w:r>
      <w:r>
        <w:rPr>
          <w:rFonts w:ascii="仿宋" w:eastAsia="仿宋" w:hAnsi="仿宋" w:cs="仿宋" w:hint="eastAsia"/>
          <w:sz w:val="32"/>
          <w:szCs w:val="32"/>
        </w:rPr>
        <w:t>围绕秸秆收储运和综合利用能力提升，完善社会化服务体系，支持各类长效性的秸秆收储、利用项目建设，构建秸秆综合利用长效机制。</w:t>
      </w:r>
    </w:p>
    <w:p w14:paraId="0280353A" w14:textId="77777777" w:rsidR="00C757E6" w:rsidRDefault="00A358A5">
      <w:pPr>
        <w:ind w:firstLineChars="200" w:firstLine="640"/>
        <w:rPr>
          <w:rFonts w:ascii="黑体" w:eastAsia="黑体" w:hAnsi="黑体" w:cs="黑体"/>
          <w:sz w:val="32"/>
          <w:szCs w:val="32"/>
        </w:rPr>
      </w:pPr>
      <w:r>
        <w:rPr>
          <w:rFonts w:ascii="黑体" w:eastAsia="黑体" w:hAnsi="黑体" w:cs="黑体" w:hint="eastAsia"/>
          <w:sz w:val="32"/>
          <w:szCs w:val="32"/>
        </w:rPr>
        <w:t>四、项目内容及支持环节、补助标准</w:t>
      </w:r>
    </w:p>
    <w:p w14:paraId="0B869CDC" w14:textId="77777777" w:rsidR="00C757E6" w:rsidRDefault="00A358A5" w:rsidP="00C757E6">
      <w:pPr>
        <w:ind w:firstLineChars="200" w:firstLine="643"/>
        <w:rPr>
          <w:rFonts w:ascii="楷体" w:eastAsia="楷体" w:hAnsi="楷体" w:cs="楷体"/>
          <w:b/>
          <w:bCs/>
          <w:sz w:val="32"/>
          <w:szCs w:val="32"/>
        </w:rPr>
      </w:pPr>
      <w:r>
        <w:rPr>
          <w:rFonts w:ascii="楷体" w:eastAsia="楷体" w:hAnsi="楷体" w:cs="楷体" w:hint="eastAsia"/>
          <w:b/>
          <w:bCs/>
          <w:sz w:val="32"/>
          <w:szCs w:val="32"/>
        </w:rPr>
        <w:t>（一）实施区域及资金分配</w:t>
      </w:r>
    </w:p>
    <w:p w14:paraId="463C4C89"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按照农业农村部“集中投入，整县推进”的要求，省厅采取因素分配法将中央财政资金6722万元下达运城市、临汾市、晋中市、大同市、长治市、忻州市、吕梁市等7个市，其中绛县746万元、襄汾县746万元、乡宁县746万元、和顺县746万元、阳高县746万元、壶关县750万元、神池县746万元、代县750万元、孝义市746万元。</w:t>
      </w:r>
    </w:p>
    <w:p w14:paraId="1250FF7A" w14:textId="77777777" w:rsidR="00C757E6" w:rsidRDefault="00A358A5" w:rsidP="00C757E6">
      <w:pPr>
        <w:ind w:firstLineChars="200" w:firstLine="643"/>
        <w:rPr>
          <w:rFonts w:ascii="楷体" w:eastAsia="楷体" w:hAnsi="楷体" w:cs="楷体"/>
          <w:b/>
          <w:bCs/>
          <w:sz w:val="32"/>
          <w:szCs w:val="32"/>
        </w:rPr>
      </w:pPr>
      <w:r>
        <w:rPr>
          <w:rFonts w:ascii="楷体" w:eastAsia="楷体" w:hAnsi="楷体" w:cs="楷体" w:hint="eastAsia"/>
          <w:b/>
          <w:bCs/>
          <w:sz w:val="32"/>
          <w:szCs w:val="32"/>
        </w:rPr>
        <w:t>（二）支持对象</w:t>
      </w:r>
    </w:p>
    <w:p w14:paraId="48659C19"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实施秸秆肥料化、饲料化、燃料化、基料化、原料化利用以及从事秸秆专业收储、农机专业服务的企业、农民专业合作社、集体经济组织、社会化服务组织等主体，支持对象要适度集中，避免过于分散。</w:t>
      </w:r>
    </w:p>
    <w:p w14:paraId="7D224E6F" w14:textId="77777777" w:rsidR="00C757E6" w:rsidRDefault="00A358A5" w:rsidP="00C757E6">
      <w:pPr>
        <w:ind w:firstLineChars="200" w:firstLine="643"/>
        <w:rPr>
          <w:rFonts w:ascii="楷体" w:eastAsia="楷体" w:hAnsi="楷体" w:cs="楷体"/>
          <w:b/>
          <w:bCs/>
          <w:sz w:val="32"/>
          <w:szCs w:val="32"/>
        </w:rPr>
      </w:pPr>
      <w:r>
        <w:rPr>
          <w:rFonts w:ascii="楷体" w:eastAsia="楷体" w:hAnsi="楷体" w:cs="楷体" w:hint="eastAsia"/>
          <w:b/>
          <w:bCs/>
          <w:sz w:val="32"/>
          <w:szCs w:val="32"/>
        </w:rPr>
        <w:t>（三）支持环节及补贴标准</w:t>
      </w:r>
    </w:p>
    <w:p w14:paraId="2827F2FC"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中央财政补助资金采取“以奖代补”方式，按照“谁利用秸秆、谁实施作业、谁享受补助”、“资金与任务相匹配”的原则对秸秆综合利用的实施主体进行适当补助。中央财政补助资金由各重点县根据项目任务科学统筹安排，资金主要用于补助重点县秸秆综合利用项目设施设备费用、收储运站（点）费用、田间作业费用、离田加工利用费用、终端监测设备费用、秸秆</w:t>
      </w:r>
      <w:proofErr w:type="gramStart"/>
      <w:r>
        <w:rPr>
          <w:rFonts w:ascii="仿宋" w:eastAsia="仿宋" w:hAnsi="仿宋" w:cs="仿宋" w:hint="eastAsia"/>
          <w:sz w:val="32"/>
          <w:szCs w:val="32"/>
        </w:rPr>
        <w:t>资源台</w:t>
      </w:r>
      <w:proofErr w:type="gramEnd"/>
      <w:r>
        <w:rPr>
          <w:rFonts w:ascii="仿宋" w:eastAsia="仿宋" w:hAnsi="仿宋" w:cs="仿宋" w:hint="eastAsia"/>
          <w:sz w:val="32"/>
          <w:szCs w:val="32"/>
        </w:rPr>
        <w:t>账建设、秸秆综合利用技术培训及示范观摩现场会等费用。</w:t>
      </w:r>
    </w:p>
    <w:p w14:paraId="1FA16E5D" w14:textId="77777777" w:rsidR="00C757E6" w:rsidRDefault="00A358A5" w:rsidP="00C757E6">
      <w:pPr>
        <w:ind w:firstLineChars="200" w:firstLine="643"/>
        <w:rPr>
          <w:rFonts w:ascii="仿宋" w:eastAsia="仿宋" w:hAnsi="仿宋" w:cs="仿宋"/>
          <w:b/>
          <w:bCs/>
          <w:sz w:val="32"/>
          <w:szCs w:val="32"/>
        </w:rPr>
      </w:pPr>
      <w:r>
        <w:rPr>
          <w:rFonts w:ascii="仿宋" w:eastAsia="仿宋" w:hAnsi="仿宋" w:cs="仿宋" w:hint="eastAsia"/>
          <w:b/>
          <w:bCs/>
          <w:sz w:val="32"/>
          <w:szCs w:val="32"/>
        </w:rPr>
        <w:t>1.秸秆直接还田</w:t>
      </w:r>
    </w:p>
    <w:p w14:paraId="0F139DD6"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以玉米、小麦等农作物秸秆直接还田为重点，制定秸秆直接还田技术标准和作业质量规范，开展秸秆粉碎旋耕还田和秸秆粉碎深翻还田等机械化还田，因地制宜推广秸秆覆盖、堆沤腐熟等还田方式。支持、鼓励实施项目的作业农机安装机载物联网终端系统和建设农机作业物联网县级管理平台。对从事秸秆还田专用农机具（含定位、监测等附属设备）进行补贴并按照秸秆还田面积给予适当补助。</w:t>
      </w:r>
    </w:p>
    <w:p w14:paraId="7E9AC91F" w14:textId="77777777" w:rsidR="00C757E6" w:rsidRDefault="00A358A5">
      <w:pPr>
        <w:rPr>
          <w:rFonts w:ascii="仿宋" w:eastAsia="仿宋" w:hAnsi="仿宋" w:cs="仿宋"/>
          <w:b/>
          <w:bCs/>
          <w:sz w:val="32"/>
          <w:szCs w:val="32"/>
        </w:rPr>
      </w:pPr>
      <w:r>
        <w:rPr>
          <w:rFonts w:ascii="仿宋" w:eastAsia="仿宋" w:hAnsi="仿宋" w:cs="仿宋" w:hint="eastAsia"/>
          <w:b/>
          <w:bCs/>
          <w:sz w:val="32"/>
          <w:szCs w:val="32"/>
        </w:rPr>
        <w:t>2.秸秆离田利用</w:t>
      </w:r>
    </w:p>
    <w:p w14:paraId="132294D0"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围绕秸秆离田利用，支持一批秸秆市场化利用主体发展，推进秸秆综合利用产业结构优化和提质增效。对以秸秆为原料的饲料加工、有机肥生产、生物质能发电、生物质清洁供暖、秸秆沼气、秸秆固化成型燃料、秸秆食用菌种植、秸秆清洁制浆、秸秆工业原料加工等饲料化、肥料化、燃料化、基料化、原料化利用的秸秆离田利用专用机械设备给予购置补贴并按照秸秆离田利用量给予适当秸秆离田利用补助。</w:t>
      </w:r>
    </w:p>
    <w:p w14:paraId="30B3AE6E" w14:textId="77777777" w:rsidR="00C757E6" w:rsidRDefault="00A358A5" w:rsidP="00C757E6">
      <w:pPr>
        <w:ind w:firstLineChars="200" w:firstLine="643"/>
        <w:rPr>
          <w:rFonts w:ascii="仿宋" w:eastAsia="仿宋" w:hAnsi="仿宋" w:cs="仿宋"/>
          <w:b/>
          <w:bCs/>
          <w:sz w:val="32"/>
          <w:szCs w:val="32"/>
        </w:rPr>
      </w:pPr>
      <w:r>
        <w:rPr>
          <w:rFonts w:ascii="仿宋" w:eastAsia="仿宋" w:hAnsi="仿宋" w:cs="仿宋" w:hint="eastAsia"/>
          <w:b/>
          <w:bCs/>
          <w:sz w:val="32"/>
          <w:szCs w:val="32"/>
        </w:rPr>
        <w:t>3.秸秆收储运体系建设</w:t>
      </w:r>
    </w:p>
    <w:p w14:paraId="783774A5"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积极培育秸秆收储运社会化服务组织，依托规模化秸秆综合利用企业（合作社）和专业从事秸秆收储企业（合作社、农民经纪人），建立健全县域秸秆收储运体系，推动形成商品化秸秆收储和供应能力，实现秸秆收储运的专业化和市场化。根据秸秆可收集量和运输半径，因地制宜建设秸秆收集储运（站）点。对建设秸秆收储运体系必要的设施、设备进行补贴并给予适当离田收储补助，但不能和离田利用补助重复。</w:t>
      </w:r>
    </w:p>
    <w:p w14:paraId="0282D11C" w14:textId="77777777" w:rsidR="00C757E6" w:rsidRDefault="00A358A5" w:rsidP="00C757E6">
      <w:pPr>
        <w:ind w:firstLineChars="200" w:firstLine="643"/>
        <w:rPr>
          <w:rFonts w:ascii="仿宋" w:eastAsia="仿宋" w:hAnsi="仿宋" w:cs="仿宋"/>
          <w:b/>
          <w:bCs/>
          <w:sz w:val="32"/>
          <w:szCs w:val="32"/>
        </w:rPr>
      </w:pPr>
      <w:r>
        <w:rPr>
          <w:rFonts w:ascii="仿宋" w:eastAsia="仿宋" w:hAnsi="仿宋" w:cs="仿宋" w:hint="eastAsia"/>
          <w:b/>
          <w:bCs/>
          <w:sz w:val="32"/>
          <w:szCs w:val="32"/>
        </w:rPr>
        <w:t>4.秸秆综合利用培训</w:t>
      </w:r>
    </w:p>
    <w:p w14:paraId="6F9CD9B0"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采取邀请专家指导、举办技术培训班、组织现场示范观摩活动等多种形式，加大秸秆综合利用技术培训和示范推广力度，提高秸秆综合利用专业化水平。</w:t>
      </w:r>
    </w:p>
    <w:p w14:paraId="6F582FD2" w14:textId="77777777" w:rsidR="00C757E6" w:rsidRDefault="00A358A5" w:rsidP="00C757E6">
      <w:pPr>
        <w:ind w:firstLineChars="200" w:firstLine="643"/>
        <w:rPr>
          <w:rFonts w:ascii="仿宋" w:eastAsia="仿宋" w:hAnsi="仿宋" w:cs="仿宋"/>
          <w:b/>
          <w:bCs/>
          <w:sz w:val="32"/>
          <w:szCs w:val="32"/>
        </w:rPr>
      </w:pPr>
      <w:r>
        <w:rPr>
          <w:rFonts w:ascii="仿宋" w:eastAsia="仿宋" w:hAnsi="仿宋" w:cs="仿宋" w:hint="eastAsia"/>
          <w:b/>
          <w:bCs/>
          <w:sz w:val="32"/>
          <w:szCs w:val="32"/>
        </w:rPr>
        <w:t>5.秸秆</w:t>
      </w:r>
      <w:proofErr w:type="gramStart"/>
      <w:r>
        <w:rPr>
          <w:rFonts w:ascii="仿宋" w:eastAsia="仿宋" w:hAnsi="仿宋" w:cs="仿宋" w:hint="eastAsia"/>
          <w:b/>
          <w:bCs/>
          <w:sz w:val="32"/>
          <w:szCs w:val="32"/>
        </w:rPr>
        <w:t>资源台</w:t>
      </w:r>
      <w:proofErr w:type="gramEnd"/>
      <w:r>
        <w:rPr>
          <w:rFonts w:ascii="仿宋" w:eastAsia="仿宋" w:hAnsi="仿宋" w:cs="仿宋" w:hint="eastAsia"/>
          <w:b/>
          <w:bCs/>
          <w:sz w:val="32"/>
          <w:szCs w:val="32"/>
        </w:rPr>
        <w:t>账建设</w:t>
      </w:r>
    </w:p>
    <w:p w14:paraId="252F7803"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开展秸秆</w:t>
      </w:r>
      <w:proofErr w:type="gramStart"/>
      <w:r>
        <w:rPr>
          <w:rFonts w:ascii="仿宋" w:eastAsia="仿宋" w:hAnsi="仿宋" w:cs="仿宋" w:hint="eastAsia"/>
          <w:sz w:val="32"/>
          <w:szCs w:val="32"/>
        </w:rPr>
        <w:t>资源台</w:t>
      </w:r>
      <w:proofErr w:type="gramEnd"/>
      <w:r>
        <w:rPr>
          <w:rFonts w:ascii="仿宋" w:eastAsia="仿宋" w:hAnsi="仿宋" w:cs="仿宋" w:hint="eastAsia"/>
          <w:sz w:val="32"/>
          <w:szCs w:val="32"/>
        </w:rPr>
        <w:t>账建设，建立年度秸秆</w:t>
      </w:r>
      <w:proofErr w:type="gramStart"/>
      <w:r>
        <w:rPr>
          <w:rFonts w:ascii="仿宋" w:eastAsia="仿宋" w:hAnsi="仿宋" w:cs="仿宋" w:hint="eastAsia"/>
          <w:sz w:val="32"/>
          <w:szCs w:val="32"/>
        </w:rPr>
        <w:t>产生量台账</w:t>
      </w:r>
      <w:proofErr w:type="gramEnd"/>
      <w:r>
        <w:rPr>
          <w:rFonts w:ascii="仿宋" w:eastAsia="仿宋" w:hAnsi="仿宋" w:cs="仿宋" w:hint="eastAsia"/>
          <w:sz w:val="32"/>
          <w:szCs w:val="32"/>
        </w:rPr>
        <w:t>、</w:t>
      </w:r>
      <w:proofErr w:type="gramStart"/>
      <w:r>
        <w:rPr>
          <w:rFonts w:ascii="仿宋" w:eastAsia="仿宋" w:hAnsi="仿宋" w:cs="仿宋" w:hint="eastAsia"/>
          <w:sz w:val="32"/>
          <w:szCs w:val="32"/>
        </w:rPr>
        <w:t>利用量台账</w:t>
      </w:r>
      <w:proofErr w:type="gramEnd"/>
      <w:r>
        <w:rPr>
          <w:rFonts w:ascii="仿宋" w:eastAsia="仿宋" w:hAnsi="仿宋" w:cs="仿宋" w:hint="eastAsia"/>
          <w:sz w:val="32"/>
          <w:szCs w:val="32"/>
        </w:rPr>
        <w:t>，开展农户秸秆利用情况等台</w:t>
      </w:r>
      <w:proofErr w:type="gramStart"/>
      <w:r>
        <w:rPr>
          <w:rFonts w:ascii="仿宋" w:eastAsia="仿宋" w:hAnsi="仿宋" w:cs="仿宋" w:hint="eastAsia"/>
          <w:sz w:val="32"/>
          <w:szCs w:val="32"/>
        </w:rPr>
        <w:t>账基础</w:t>
      </w:r>
      <w:proofErr w:type="gramEnd"/>
      <w:r>
        <w:rPr>
          <w:rFonts w:ascii="仿宋" w:eastAsia="仿宋" w:hAnsi="仿宋" w:cs="仿宋" w:hint="eastAsia"/>
          <w:sz w:val="32"/>
          <w:szCs w:val="32"/>
        </w:rPr>
        <w:t>数据调查，为秸秆综合利用提供依据。</w:t>
      </w:r>
    </w:p>
    <w:p w14:paraId="291BD426" w14:textId="77777777" w:rsidR="00C757E6" w:rsidRDefault="00A358A5">
      <w:pPr>
        <w:ind w:firstLineChars="200" w:firstLine="640"/>
        <w:rPr>
          <w:rFonts w:ascii="黑体" w:eastAsia="黑体" w:hAnsi="黑体" w:cs="黑体"/>
          <w:sz w:val="32"/>
          <w:szCs w:val="32"/>
        </w:rPr>
      </w:pPr>
      <w:r>
        <w:rPr>
          <w:rFonts w:ascii="黑体" w:eastAsia="黑体" w:hAnsi="黑体" w:cs="黑体" w:hint="eastAsia"/>
          <w:sz w:val="32"/>
          <w:szCs w:val="32"/>
        </w:rPr>
        <w:t>五、组织管理</w:t>
      </w:r>
    </w:p>
    <w:p w14:paraId="2BA66D1A" w14:textId="77777777" w:rsidR="00C757E6" w:rsidRDefault="00A358A5" w:rsidP="00C757E6">
      <w:pPr>
        <w:ind w:firstLineChars="200" w:firstLine="643"/>
        <w:rPr>
          <w:rFonts w:ascii="仿宋" w:eastAsia="仿宋" w:hAnsi="仿宋" w:cs="仿宋"/>
          <w:sz w:val="32"/>
          <w:szCs w:val="32"/>
        </w:rPr>
      </w:pPr>
      <w:r>
        <w:rPr>
          <w:rFonts w:ascii="楷体" w:eastAsia="楷体" w:hAnsi="楷体" w:cs="楷体" w:hint="eastAsia"/>
          <w:b/>
          <w:bCs/>
          <w:sz w:val="32"/>
          <w:szCs w:val="32"/>
        </w:rPr>
        <w:t>（一）强化组织领导。</w:t>
      </w:r>
      <w:r>
        <w:rPr>
          <w:rFonts w:ascii="仿宋" w:eastAsia="仿宋" w:hAnsi="仿宋" w:cs="仿宋" w:hint="eastAsia"/>
          <w:sz w:val="32"/>
          <w:szCs w:val="32"/>
        </w:rPr>
        <w:t>省农业农村厅成立由厅领导任组长的全省农作物秸秆综合利用项目工作推进落实小组，加强指导，定期调度，协调推进项目落实。各重点县成立由县政府主要负责同志任组长，县农业农村、财政、生态环境及其他相关部门负责人为成员的秸秆综合利用领导组，明确分工责任，建立部门协同机制，统筹推动项目建设，构建政府主导、部门联动、企业实施、农民参与的工作格局。</w:t>
      </w:r>
    </w:p>
    <w:p w14:paraId="2AB45A3C" w14:textId="77777777" w:rsidR="00C757E6" w:rsidRDefault="00A358A5" w:rsidP="00C757E6">
      <w:pPr>
        <w:ind w:firstLineChars="200" w:firstLine="643"/>
        <w:rPr>
          <w:rFonts w:ascii="仿宋" w:eastAsia="仿宋" w:hAnsi="仿宋" w:cs="仿宋"/>
          <w:color w:val="FF0000"/>
          <w:sz w:val="32"/>
          <w:szCs w:val="32"/>
        </w:rPr>
      </w:pPr>
      <w:r>
        <w:rPr>
          <w:rFonts w:ascii="楷体" w:eastAsia="楷体" w:hAnsi="楷体" w:cs="楷体" w:hint="eastAsia"/>
          <w:b/>
          <w:bCs/>
          <w:sz w:val="32"/>
          <w:szCs w:val="32"/>
        </w:rPr>
        <w:t>（二）明确工作职责。</w:t>
      </w:r>
      <w:r>
        <w:rPr>
          <w:rFonts w:ascii="仿宋" w:eastAsia="仿宋" w:hAnsi="仿宋" w:cs="仿宋" w:hint="eastAsia"/>
          <w:sz w:val="32"/>
          <w:szCs w:val="32"/>
        </w:rPr>
        <w:t>省级管理部门负责编制省级实施方案，切块下达补助资金，开展项目补助资金绩效评价、工作总结和检查督导，指导市、县做好秸秆综合利用重点县工作。市农业农村部门指导项目实施、监督补助资金使用，扎实推动项目实施。县农业农村部门负责编制县级实施方案，制定管理实施细则，审核项目具体实施单位的资质材料、考察项目单位的实施条件、研究确定项目单位及资金分配，采取切实有效措施，加强安全生产管理，加快项目实施进度，确保按时完成任务及开展自验工作。市、县要严格按照财务有关规定，做好县级实施方案审核批复和项目验收工作。</w:t>
      </w:r>
    </w:p>
    <w:p w14:paraId="63F676D4" w14:textId="77777777" w:rsidR="00C757E6" w:rsidRDefault="00A358A5" w:rsidP="00C757E6">
      <w:pPr>
        <w:ind w:firstLineChars="200" w:firstLine="643"/>
        <w:rPr>
          <w:rFonts w:ascii="仿宋" w:eastAsia="仿宋" w:hAnsi="仿宋" w:cs="仿宋"/>
          <w:sz w:val="32"/>
          <w:szCs w:val="32"/>
        </w:rPr>
      </w:pPr>
      <w:r>
        <w:rPr>
          <w:rFonts w:ascii="楷体" w:eastAsia="楷体" w:hAnsi="楷体" w:cs="楷体" w:hint="eastAsia"/>
          <w:b/>
          <w:bCs/>
          <w:sz w:val="32"/>
          <w:szCs w:val="32"/>
        </w:rPr>
        <w:t>（三）编制县级方案。</w:t>
      </w:r>
      <w:r>
        <w:rPr>
          <w:rFonts w:ascii="仿宋" w:eastAsia="仿宋" w:hAnsi="仿宋" w:cs="仿宋" w:hint="eastAsia"/>
          <w:sz w:val="32"/>
          <w:szCs w:val="32"/>
        </w:rPr>
        <w:t>各重点县要结合本地实际，加强对县域秸秆综合利用的规划研究，以基本实现秸秆全量化利用为目标，在与省、市项目管理部门及省秸秆综合利用技术专家组沟通的基础上，制定县级项目实施方案，方案要明确实施条件、实施内容、补助对象、补助标准、实施要求和保障机制、投资概算、进度安排。实施方案报省农业农村厅备案。秸秆全</w:t>
      </w:r>
      <w:proofErr w:type="gramStart"/>
      <w:r>
        <w:rPr>
          <w:rFonts w:ascii="仿宋" w:eastAsia="仿宋" w:hAnsi="仿宋" w:cs="仿宋" w:hint="eastAsia"/>
          <w:sz w:val="32"/>
          <w:szCs w:val="32"/>
        </w:rPr>
        <w:t>量利用</w:t>
      </w:r>
      <w:proofErr w:type="gramEnd"/>
      <w:r>
        <w:rPr>
          <w:rFonts w:ascii="仿宋" w:eastAsia="仿宋" w:hAnsi="仿宋" w:cs="仿宋" w:hint="eastAsia"/>
          <w:sz w:val="32"/>
          <w:szCs w:val="32"/>
        </w:rPr>
        <w:t>试点县要加强基础调研，以秸秆全</w:t>
      </w:r>
      <w:proofErr w:type="gramStart"/>
      <w:r>
        <w:rPr>
          <w:rFonts w:ascii="仿宋" w:eastAsia="仿宋" w:hAnsi="仿宋" w:cs="仿宋" w:hint="eastAsia"/>
          <w:sz w:val="32"/>
          <w:szCs w:val="32"/>
        </w:rPr>
        <w:t>量利用</w:t>
      </w:r>
      <w:proofErr w:type="gramEnd"/>
      <w:r>
        <w:rPr>
          <w:rFonts w:ascii="仿宋" w:eastAsia="仿宋" w:hAnsi="仿宋" w:cs="仿宋" w:hint="eastAsia"/>
          <w:sz w:val="32"/>
          <w:szCs w:val="32"/>
        </w:rPr>
        <w:t>为目标制定实施方案，我厅也将邀请农业农村部技术专家进行指导把关，确保方案制定科学、技术路径明确、推动措施得力、实施效果明显。</w:t>
      </w:r>
    </w:p>
    <w:p w14:paraId="0139845A" w14:textId="77777777" w:rsidR="00C757E6" w:rsidRDefault="00A358A5" w:rsidP="00C757E6">
      <w:pPr>
        <w:ind w:firstLineChars="200" w:firstLine="643"/>
        <w:rPr>
          <w:rFonts w:ascii="仿宋" w:eastAsia="仿宋" w:hAnsi="仿宋" w:cs="仿宋"/>
          <w:sz w:val="32"/>
          <w:szCs w:val="32"/>
        </w:rPr>
      </w:pPr>
      <w:r>
        <w:rPr>
          <w:rFonts w:ascii="楷体" w:eastAsia="楷体" w:hAnsi="楷体" w:cs="楷体" w:hint="eastAsia"/>
          <w:b/>
          <w:bCs/>
          <w:sz w:val="32"/>
          <w:szCs w:val="32"/>
        </w:rPr>
        <w:t>（四）强化政策引领。</w:t>
      </w:r>
      <w:r>
        <w:rPr>
          <w:rFonts w:ascii="仿宋" w:eastAsia="仿宋" w:hAnsi="仿宋" w:cs="仿宋" w:hint="eastAsia"/>
          <w:sz w:val="32"/>
          <w:szCs w:val="32"/>
        </w:rPr>
        <w:t>各重点县要统筹利用好相关项目和政策措施，充分发挥财政资金引领作用，撬动更多金融和社会资本投入秸秆综合利用产业。要及时将本地实施方案向社会发布，按程序做好补助对象、补助资金等信息公开公示工作，广泛接受社会监督。要采取多种渠道政策宣传宣讲，使广大农民群众、新型农业经营主体和基层干部准确理解掌握政策内容，积极营造有利于项目实施的良好氛围。</w:t>
      </w:r>
    </w:p>
    <w:p w14:paraId="1697224D" w14:textId="77777777" w:rsidR="00C757E6" w:rsidRDefault="00A358A5" w:rsidP="00C757E6">
      <w:pPr>
        <w:ind w:firstLineChars="200" w:firstLine="643"/>
        <w:rPr>
          <w:rFonts w:ascii="仿宋" w:eastAsia="仿宋" w:hAnsi="仿宋" w:cs="仿宋"/>
          <w:sz w:val="32"/>
          <w:szCs w:val="32"/>
        </w:rPr>
      </w:pPr>
      <w:r>
        <w:rPr>
          <w:rFonts w:ascii="楷体" w:eastAsia="楷体" w:hAnsi="楷体" w:cs="楷体" w:hint="eastAsia"/>
          <w:b/>
          <w:bCs/>
          <w:sz w:val="32"/>
          <w:szCs w:val="32"/>
        </w:rPr>
        <w:t>（五）加强资金监管。</w:t>
      </w:r>
      <w:r>
        <w:rPr>
          <w:rFonts w:ascii="仿宋" w:eastAsia="仿宋" w:hAnsi="仿宋" w:cs="仿宋" w:hint="eastAsia"/>
          <w:sz w:val="32"/>
          <w:szCs w:val="32"/>
        </w:rPr>
        <w:t>市、县两级管理部门要切实强化资金监管，建立健全财务管理制度，及时拨付项目资金，切实提高资金使用效率，不得擅自调剂或挪用项目资金，确保中央财政补助资金专账管理、专款专用。要督促项目实施主体建立健全秸秆收储、转化使用、产品销售工作记录台账，切实</w:t>
      </w:r>
      <w:proofErr w:type="gramStart"/>
      <w:r>
        <w:rPr>
          <w:rFonts w:ascii="仿宋" w:eastAsia="仿宋" w:hAnsi="仿宋" w:cs="仿宋" w:hint="eastAsia"/>
          <w:sz w:val="32"/>
          <w:szCs w:val="32"/>
        </w:rPr>
        <w:t>将补有所据</w:t>
      </w:r>
      <w:proofErr w:type="gramEnd"/>
      <w:r>
        <w:rPr>
          <w:rFonts w:ascii="仿宋" w:eastAsia="仿宋" w:hAnsi="仿宋" w:cs="仿宋" w:hint="eastAsia"/>
          <w:sz w:val="32"/>
          <w:szCs w:val="32"/>
        </w:rPr>
        <w:t>落到实处。</w:t>
      </w:r>
    </w:p>
    <w:p w14:paraId="3F0BA0E4" w14:textId="77777777" w:rsidR="00C757E6" w:rsidRDefault="00A358A5" w:rsidP="00C757E6">
      <w:pPr>
        <w:ind w:firstLineChars="200" w:firstLine="643"/>
        <w:rPr>
          <w:rFonts w:ascii="仿宋" w:eastAsia="仿宋" w:hAnsi="仿宋" w:cs="仿宋"/>
          <w:sz w:val="32"/>
          <w:szCs w:val="32"/>
        </w:rPr>
      </w:pPr>
      <w:r>
        <w:rPr>
          <w:rFonts w:ascii="楷体" w:eastAsia="楷体" w:hAnsi="楷体" w:cs="楷体" w:hint="eastAsia"/>
          <w:b/>
          <w:bCs/>
          <w:sz w:val="32"/>
          <w:szCs w:val="32"/>
        </w:rPr>
        <w:t>（六）强化督导考核。</w:t>
      </w:r>
      <w:r>
        <w:rPr>
          <w:rFonts w:ascii="仿宋" w:eastAsia="仿宋" w:hAnsi="仿宋" w:cs="仿宋" w:hint="eastAsia"/>
          <w:sz w:val="32"/>
          <w:szCs w:val="32"/>
        </w:rPr>
        <w:t>省级按照绩效目标和各重点县实施方案，适时组织开展工作督查、绩效评价、项目自评估和第三方评估，全面评估、考核项目执行情况。同时加强绩效评价结果运用，对绩效评价结果较差的</w:t>
      </w:r>
      <w:proofErr w:type="gramStart"/>
      <w:r>
        <w:rPr>
          <w:rFonts w:ascii="仿宋" w:eastAsia="仿宋" w:hAnsi="仿宋" w:cs="仿宋" w:hint="eastAsia"/>
          <w:sz w:val="32"/>
          <w:szCs w:val="32"/>
        </w:rPr>
        <w:t>县减少</w:t>
      </w:r>
      <w:proofErr w:type="gramEnd"/>
      <w:r>
        <w:rPr>
          <w:rFonts w:ascii="仿宋" w:eastAsia="仿宋" w:hAnsi="仿宋" w:cs="仿宋" w:hint="eastAsia"/>
          <w:sz w:val="32"/>
          <w:szCs w:val="32"/>
        </w:rPr>
        <w:t>或不再安排中央财政补助资金项目，实现“花钱必问效、无效必问责”，形成有利于推动项目工作开展的激励约束机制。</w:t>
      </w:r>
    </w:p>
    <w:p w14:paraId="3C2823A8" w14:textId="77777777" w:rsidR="00C757E6" w:rsidRDefault="00A358A5" w:rsidP="00C757E6">
      <w:pPr>
        <w:ind w:firstLineChars="200" w:firstLine="643"/>
        <w:rPr>
          <w:rFonts w:ascii="仿宋" w:eastAsia="仿宋" w:hAnsi="仿宋" w:cs="仿宋"/>
          <w:sz w:val="32"/>
          <w:szCs w:val="32"/>
        </w:rPr>
      </w:pPr>
      <w:r>
        <w:rPr>
          <w:rFonts w:ascii="楷体" w:eastAsia="楷体" w:hAnsi="楷体" w:cs="楷体" w:hint="eastAsia"/>
          <w:b/>
          <w:bCs/>
          <w:sz w:val="32"/>
          <w:szCs w:val="32"/>
        </w:rPr>
        <w:t>（七）加强技术支撑。</w:t>
      </w:r>
      <w:proofErr w:type="gramStart"/>
      <w:r>
        <w:rPr>
          <w:rFonts w:ascii="仿宋" w:eastAsia="仿宋" w:hAnsi="仿宋" w:cs="仿宋" w:hint="eastAsia"/>
          <w:sz w:val="32"/>
          <w:szCs w:val="32"/>
        </w:rPr>
        <w:t>强化省</w:t>
      </w:r>
      <w:proofErr w:type="gramEnd"/>
      <w:r>
        <w:rPr>
          <w:rFonts w:ascii="仿宋" w:eastAsia="仿宋" w:hAnsi="仿宋" w:cs="仿宋" w:hint="eastAsia"/>
          <w:sz w:val="32"/>
          <w:szCs w:val="32"/>
        </w:rPr>
        <w:t>市县秸秆综合利用技术服务体系建设，建立健全秸秆综合利用技术专家组，加强秸秆综合利用技术服务。各重点县要充分依托省秸秆综合利用技术专家组的技术支撑作用，与专家组签订技术服务合作协议，结合县域实际情况，编制项目实施方案、研究政策体系、提炼技术清单、总结凝练典型模式。</w:t>
      </w:r>
    </w:p>
    <w:p w14:paraId="6AECB780" w14:textId="77777777" w:rsidR="00C757E6" w:rsidRDefault="00A358A5" w:rsidP="00C757E6">
      <w:pPr>
        <w:ind w:firstLineChars="200" w:firstLine="643"/>
        <w:rPr>
          <w:rFonts w:ascii="仿宋" w:eastAsia="仿宋" w:hAnsi="仿宋" w:cs="仿宋"/>
          <w:sz w:val="32"/>
          <w:szCs w:val="32"/>
        </w:rPr>
      </w:pPr>
      <w:r>
        <w:rPr>
          <w:rFonts w:ascii="楷体" w:eastAsia="楷体" w:hAnsi="楷体" w:cs="楷体" w:hint="eastAsia"/>
          <w:b/>
          <w:bCs/>
          <w:sz w:val="32"/>
          <w:szCs w:val="32"/>
        </w:rPr>
        <w:t>（八）加强宣传培训。</w:t>
      </w:r>
      <w:r>
        <w:rPr>
          <w:rFonts w:ascii="仿宋" w:eastAsia="仿宋" w:hAnsi="仿宋" w:cs="仿宋" w:hint="eastAsia"/>
          <w:sz w:val="32"/>
          <w:szCs w:val="32"/>
        </w:rPr>
        <w:t>强化技术培训，分层次、分环节、分对象举办秸秆综合利用技术培训和示范观摩活动，加强技术推广人员、新型农业经营主体的培训力度，不断提高专业化水平。利用报纸、广播、电视、网络、</w:t>
      </w:r>
      <w:proofErr w:type="gramStart"/>
      <w:r>
        <w:rPr>
          <w:rFonts w:ascii="仿宋" w:eastAsia="仿宋" w:hAnsi="仿宋" w:cs="仿宋" w:hint="eastAsia"/>
          <w:sz w:val="32"/>
          <w:szCs w:val="32"/>
        </w:rPr>
        <w:t>微信自</w:t>
      </w:r>
      <w:proofErr w:type="gramEnd"/>
      <w:r>
        <w:rPr>
          <w:rFonts w:ascii="仿宋" w:eastAsia="仿宋" w:hAnsi="仿宋" w:cs="仿宋" w:hint="eastAsia"/>
          <w:sz w:val="32"/>
          <w:szCs w:val="32"/>
        </w:rPr>
        <w:t>媒体等媒介，加大秸秆综合利用工作宣传引导，注重总结秸秆综合利用典型模式和成功做法，积极做好宣传推广工作，用技术指导群众，用示范带动群众，用效益吸引群众，提高农民有效利用秸秆自觉性和主动性，营造推动项目实施的良好氛围。</w:t>
      </w:r>
    </w:p>
    <w:p w14:paraId="164890AE" w14:textId="77777777" w:rsidR="00C757E6" w:rsidRDefault="00A358A5">
      <w:pPr>
        <w:ind w:firstLineChars="200" w:firstLine="640"/>
        <w:rPr>
          <w:rFonts w:ascii="仿宋" w:eastAsia="仿宋" w:hAnsi="仿宋" w:cs="仿宋"/>
          <w:sz w:val="32"/>
          <w:szCs w:val="32"/>
        </w:rPr>
      </w:pPr>
      <w:r>
        <w:rPr>
          <w:rFonts w:ascii="仿宋" w:eastAsia="仿宋" w:hAnsi="仿宋" w:cs="仿宋" w:hint="eastAsia"/>
          <w:sz w:val="32"/>
          <w:szCs w:val="32"/>
        </w:rPr>
        <w:t>在项目实施期间，各重点县从5月开始，每月25日前向省农业农村厅报送项目进展情况，在6月30日、9月30日、12月30日前以正式文件报送项目资金执行和项目实施情况，12月20日前报送项目工作总结、县域秸秆综合利用模式、秸秆综合利用技术清单。</w:t>
      </w:r>
    </w:p>
    <w:p w14:paraId="78E31B54" w14:textId="77777777" w:rsidR="00C757E6" w:rsidRDefault="00C757E6">
      <w:pPr>
        <w:ind w:firstLineChars="200" w:firstLine="640"/>
        <w:rPr>
          <w:rFonts w:ascii="仿宋" w:eastAsia="仿宋" w:hAnsi="仿宋" w:cs="仿宋"/>
          <w:sz w:val="32"/>
          <w:szCs w:val="32"/>
        </w:rPr>
      </w:pPr>
    </w:p>
    <w:p w14:paraId="3B9C6797" w14:textId="77777777" w:rsidR="00C757E6" w:rsidRDefault="00C757E6">
      <w:pPr>
        <w:ind w:firstLineChars="200" w:firstLine="640"/>
        <w:rPr>
          <w:rFonts w:ascii="仿宋" w:eastAsia="仿宋" w:hAnsi="仿宋" w:cs="仿宋"/>
          <w:sz w:val="32"/>
          <w:szCs w:val="32"/>
        </w:rPr>
      </w:pPr>
    </w:p>
    <w:p w14:paraId="7A3EF247" w14:textId="77777777" w:rsidR="00C757E6" w:rsidRDefault="00C757E6">
      <w:pPr>
        <w:ind w:firstLineChars="200" w:firstLine="640"/>
        <w:rPr>
          <w:rFonts w:ascii="仿宋" w:eastAsia="仿宋" w:hAnsi="仿宋" w:cs="仿宋"/>
          <w:sz w:val="32"/>
          <w:szCs w:val="32"/>
        </w:rPr>
      </w:pPr>
    </w:p>
    <w:p w14:paraId="5BE1999C" w14:textId="77777777" w:rsidR="00C757E6" w:rsidRDefault="00C757E6">
      <w:pPr>
        <w:ind w:firstLineChars="200" w:firstLine="640"/>
        <w:rPr>
          <w:rFonts w:ascii="仿宋" w:eastAsia="仿宋" w:hAnsi="仿宋" w:cs="仿宋"/>
          <w:sz w:val="32"/>
          <w:szCs w:val="32"/>
        </w:rPr>
      </w:pPr>
    </w:p>
    <w:p w14:paraId="78CECD69" w14:textId="77777777" w:rsidR="00C757E6" w:rsidRDefault="00C757E6">
      <w:pPr>
        <w:rPr>
          <w:rFonts w:ascii="仿宋" w:eastAsia="仿宋" w:hAnsi="仿宋" w:cs="仿宋"/>
          <w:sz w:val="32"/>
          <w:szCs w:val="32"/>
        </w:rPr>
        <w:sectPr w:rsidR="00C757E6">
          <w:footerReference w:type="default" r:id="rId7"/>
          <w:pgSz w:w="11906" w:h="16838"/>
          <w:pgMar w:top="1440" w:right="1800" w:bottom="1440" w:left="1800" w:header="851" w:footer="992" w:gutter="0"/>
          <w:cols w:space="425"/>
          <w:docGrid w:type="lines" w:linePitch="312"/>
        </w:sectPr>
      </w:pPr>
    </w:p>
    <w:p w14:paraId="30AB29E2" w14:textId="77777777" w:rsidR="00C757E6" w:rsidRDefault="00A358A5">
      <w:pPr>
        <w:rPr>
          <w:rFonts w:ascii="黑体" w:eastAsia="黑体" w:hAnsi="黑体" w:cs="黑体"/>
          <w:sz w:val="32"/>
          <w:szCs w:val="32"/>
        </w:rPr>
      </w:pPr>
      <w:r>
        <w:rPr>
          <w:rFonts w:ascii="黑体" w:eastAsia="黑体" w:hAnsi="黑体" w:cs="黑体" w:hint="eastAsia"/>
          <w:sz w:val="32"/>
          <w:szCs w:val="32"/>
        </w:rPr>
        <w:t>附件2</w:t>
      </w:r>
    </w:p>
    <w:p w14:paraId="31729CF1" w14:textId="77777777" w:rsidR="00C757E6" w:rsidRDefault="00A358A5">
      <w:pPr>
        <w:widowControl/>
        <w:spacing w:line="600" w:lineRule="exact"/>
        <w:jc w:val="center"/>
        <w:rPr>
          <w:rFonts w:ascii="黑体" w:eastAsia="黑体" w:hAnsi="黑体"/>
          <w:color w:val="000000" w:themeColor="text1"/>
          <w:kern w:val="0"/>
          <w:sz w:val="32"/>
          <w:szCs w:val="32"/>
        </w:rPr>
      </w:pPr>
      <w:r>
        <w:rPr>
          <w:rFonts w:ascii="黑体" w:eastAsia="黑体" w:hAnsi="黑体" w:hint="eastAsia"/>
          <w:color w:val="000000" w:themeColor="text1"/>
          <w:kern w:val="0"/>
          <w:sz w:val="32"/>
          <w:szCs w:val="32"/>
        </w:rPr>
        <w:t>山西省2020年秸秆综合利用重点县项目自评估表</w:t>
      </w:r>
    </w:p>
    <w:p w14:paraId="14FB9B3A" w14:textId="77777777" w:rsidR="00C757E6" w:rsidRDefault="00A358A5">
      <w:pPr>
        <w:widowControl/>
        <w:spacing w:line="400" w:lineRule="exact"/>
        <w:jc w:val="center"/>
        <w:rPr>
          <w:rFonts w:ascii="仿宋" w:eastAsia="仿宋" w:hAnsi="仿宋"/>
          <w:b/>
          <w:bCs/>
          <w:color w:val="000000" w:themeColor="text1"/>
          <w:kern w:val="0"/>
          <w:sz w:val="24"/>
          <w:u w:val="single"/>
        </w:rPr>
      </w:pPr>
      <w:r>
        <w:rPr>
          <w:rFonts w:ascii="仿宋" w:eastAsia="仿宋" w:hAnsi="仿宋"/>
          <w:b/>
          <w:bCs/>
          <w:color w:val="000000" w:themeColor="text1"/>
          <w:kern w:val="0"/>
          <w:sz w:val="24"/>
        </w:rPr>
        <w:t>被</w:t>
      </w:r>
      <w:r>
        <w:rPr>
          <w:rFonts w:ascii="仿宋" w:eastAsia="仿宋" w:hAnsi="仿宋" w:hint="eastAsia"/>
          <w:b/>
          <w:bCs/>
          <w:color w:val="000000" w:themeColor="text1"/>
          <w:kern w:val="0"/>
          <w:sz w:val="24"/>
        </w:rPr>
        <w:t>评估县（市、区）：</w:t>
      </w:r>
    </w:p>
    <w:tbl>
      <w:tblPr>
        <w:tblW w:w="13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
        <w:gridCol w:w="1134"/>
        <w:gridCol w:w="1119"/>
        <w:gridCol w:w="1149"/>
        <w:gridCol w:w="1741"/>
        <w:gridCol w:w="680"/>
        <w:gridCol w:w="6566"/>
        <w:gridCol w:w="724"/>
      </w:tblGrid>
      <w:tr w:rsidR="00C757E6" w14:paraId="2E1CAFAB" w14:textId="77777777">
        <w:trPr>
          <w:trHeight w:val="534"/>
          <w:tblHeader/>
          <w:jc w:val="center"/>
        </w:trPr>
        <w:tc>
          <w:tcPr>
            <w:tcW w:w="706" w:type="dxa"/>
            <w:vAlign w:val="center"/>
          </w:tcPr>
          <w:p w14:paraId="137EB319" w14:textId="77777777" w:rsidR="00C757E6" w:rsidRDefault="00A358A5">
            <w:pPr>
              <w:widowControl/>
              <w:spacing w:line="400" w:lineRule="exact"/>
              <w:jc w:val="center"/>
              <w:rPr>
                <w:rFonts w:ascii="仿宋" w:eastAsia="仿宋" w:hAnsi="仿宋"/>
                <w:b/>
                <w:bCs/>
                <w:color w:val="000000" w:themeColor="text1"/>
                <w:kern w:val="0"/>
                <w:szCs w:val="21"/>
              </w:rPr>
            </w:pPr>
            <w:r>
              <w:rPr>
                <w:rFonts w:ascii="仿宋" w:eastAsia="仿宋" w:hAnsi="仿宋"/>
                <w:b/>
                <w:bCs/>
                <w:color w:val="000000" w:themeColor="text1"/>
                <w:kern w:val="0"/>
                <w:szCs w:val="21"/>
              </w:rPr>
              <w:t>序号</w:t>
            </w:r>
          </w:p>
        </w:tc>
        <w:tc>
          <w:tcPr>
            <w:tcW w:w="1134" w:type="dxa"/>
            <w:vAlign w:val="center"/>
          </w:tcPr>
          <w:p w14:paraId="7EA9944E" w14:textId="77777777" w:rsidR="00C757E6" w:rsidRDefault="00A358A5">
            <w:pPr>
              <w:widowControl/>
              <w:spacing w:line="400" w:lineRule="exact"/>
              <w:jc w:val="center"/>
              <w:rPr>
                <w:rFonts w:ascii="仿宋" w:eastAsia="仿宋" w:hAnsi="仿宋"/>
                <w:b/>
                <w:bCs/>
                <w:color w:val="000000" w:themeColor="text1"/>
                <w:kern w:val="0"/>
                <w:szCs w:val="21"/>
              </w:rPr>
            </w:pPr>
            <w:r>
              <w:rPr>
                <w:rFonts w:ascii="仿宋" w:eastAsia="仿宋" w:hAnsi="仿宋"/>
                <w:b/>
                <w:bCs/>
                <w:color w:val="000000" w:themeColor="text1"/>
                <w:kern w:val="0"/>
                <w:szCs w:val="21"/>
              </w:rPr>
              <w:t>一级指标</w:t>
            </w:r>
          </w:p>
        </w:tc>
        <w:tc>
          <w:tcPr>
            <w:tcW w:w="1119" w:type="dxa"/>
            <w:vAlign w:val="center"/>
          </w:tcPr>
          <w:p w14:paraId="4AAB6674" w14:textId="77777777" w:rsidR="00C757E6" w:rsidRDefault="00A358A5">
            <w:pPr>
              <w:widowControl/>
              <w:spacing w:line="400" w:lineRule="exact"/>
              <w:jc w:val="center"/>
              <w:rPr>
                <w:rFonts w:ascii="仿宋" w:eastAsia="仿宋" w:hAnsi="仿宋"/>
                <w:b/>
                <w:bCs/>
                <w:color w:val="000000" w:themeColor="text1"/>
                <w:kern w:val="0"/>
                <w:szCs w:val="21"/>
              </w:rPr>
            </w:pPr>
            <w:r>
              <w:rPr>
                <w:rFonts w:ascii="仿宋" w:eastAsia="仿宋" w:hAnsi="仿宋"/>
                <w:b/>
                <w:bCs/>
                <w:color w:val="000000" w:themeColor="text1"/>
                <w:kern w:val="0"/>
                <w:szCs w:val="21"/>
              </w:rPr>
              <w:t>二级指标</w:t>
            </w:r>
          </w:p>
        </w:tc>
        <w:tc>
          <w:tcPr>
            <w:tcW w:w="1149" w:type="dxa"/>
            <w:vAlign w:val="center"/>
          </w:tcPr>
          <w:p w14:paraId="2C863C32" w14:textId="77777777" w:rsidR="00C757E6" w:rsidRDefault="00A358A5">
            <w:pPr>
              <w:widowControl/>
              <w:spacing w:line="400" w:lineRule="exact"/>
              <w:jc w:val="center"/>
              <w:rPr>
                <w:rFonts w:ascii="仿宋" w:eastAsia="仿宋" w:hAnsi="仿宋"/>
                <w:b/>
                <w:bCs/>
                <w:color w:val="000000" w:themeColor="text1"/>
                <w:kern w:val="0"/>
                <w:szCs w:val="21"/>
              </w:rPr>
            </w:pPr>
            <w:r>
              <w:rPr>
                <w:rFonts w:ascii="仿宋" w:eastAsia="仿宋" w:hAnsi="仿宋"/>
                <w:b/>
                <w:bCs/>
                <w:color w:val="000000" w:themeColor="text1"/>
                <w:kern w:val="0"/>
                <w:szCs w:val="21"/>
              </w:rPr>
              <w:t>三级指标</w:t>
            </w:r>
          </w:p>
        </w:tc>
        <w:tc>
          <w:tcPr>
            <w:tcW w:w="1741" w:type="dxa"/>
            <w:vAlign w:val="center"/>
          </w:tcPr>
          <w:p w14:paraId="34C00BA7" w14:textId="77777777" w:rsidR="00C757E6" w:rsidRDefault="00A358A5">
            <w:pPr>
              <w:widowControl/>
              <w:spacing w:line="400" w:lineRule="exact"/>
              <w:jc w:val="center"/>
              <w:rPr>
                <w:rFonts w:ascii="仿宋" w:eastAsia="仿宋" w:hAnsi="仿宋"/>
                <w:b/>
                <w:bCs/>
                <w:color w:val="000000" w:themeColor="text1"/>
                <w:kern w:val="0"/>
                <w:szCs w:val="21"/>
              </w:rPr>
            </w:pPr>
            <w:r>
              <w:rPr>
                <w:rFonts w:ascii="仿宋" w:eastAsia="仿宋" w:hAnsi="仿宋"/>
                <w:b/>
                <w:bCs/>
                <w:color w:val="000000" w:themeColor="text1"/>
                <w:kern w:val="0"/>
                <w:szCs w:val="21"/>
              </w:rPr>
              <w:t>评分</w:t>
            </w:r>
            <w:r>
              <w:rPr>
                <w:rFonts w:ascii="仿宋" w:eastAsia="仿宋" w:hAnsi="仿宋" w:hint="eastAsia"/>
                <w:b/>
                <w:bCs/>
                <w:color w:val="000000" w:themeColor="text1"/>
                <w:kern w:val="0"/>
                <w:szCs w:val="21"/>
              </w:rPr>
              <w:t>标准</w:t>
            </w:r>
          </w:p>
        </w:tc>
        <w:tc>
          <w:tcPr>
            <w:tcW w:w="680" w:type="dxa"/>
            <w:vAlign w:val="center"/>
          </w:tcPr>
          <w:p w14:paraId="468BD611" w14:textId="77777777" w:rsidR="00C757E6" w:rsidRDefault="00A358A5">
            <w:pPr>
              <w:widowControl/>
              <w:spacing w:line="400" w:lineRule="exact"/>
              <w:jc w:val="center"/>
              <w:rPr>
                <w:rFonts w:ascii="仿宋" w:eastAsia="仿宋" w:hAnsi="仿宋"/>
                <w:b/>
                <w:bCs/>
                <w:color w:val="000000" w:themeColor="text1"/>
                <w:kern w:val="0"/>
                <w:szCs w:val="21"/>
              </w:rPr>
            </w:pPr>
            <w:r>
              <w:rPr>
                <w:rFonts w:ascii="仿宋" w:eastAsia="仿宋" w:hAnsi="仿宋"/>
                <w:b/>
                <w:bCs/>
                <w:color w:val="000000" w:themeColor="text1"/>
                <w:kern w:val="0"/>
                <w:szCs w:val="21"/>
              </w:rPr>
              <w:t>分值</w:t>
            </w:r>
          </w:p>
        </w:tc>
        <w:tc>
          <w:tcPr>
            <w:tcW w:w="6566" w:type="dxa"/>
            <w:vAlign w:val="center"/>
          </w:tcPr>
          <w:p w14:paraId="7DA02031" w14:textId="77777777" w:rsidR="00C757E6" w:rsidRDefault="00A358A5">
            <w:pPr>
              <w:widowControl/>
              <w:spacing w:line="400" w:lineRule="exact"/>
              <w:jc w:val="center"/>
              <w:rPr>
                <w:rFonts w:ascii="仿宋" w:eastAsia="仿宋" w:hAnsi="仿宋"/>
                <w:b/>
                <w:bCs/>
                <w:color w:val="000000" w:themeColor="text1"/>
                <w:kern w:val="0"/>
                <w:szCs w:val="21"/>
              </w:rPr>
            </w:pPr>
            <w:r>
              <w:rPr>
                <w:rFonts w:ascii="仿宋" w:eastAsia="仿宋" w:hAnsi="仿宋"/>
                <w:b/>
                <w:bCs/>
                <w:color w:val="000000" w:themeColor="text1"/>
                <w:kern w:val="0"/>
                <w:szCs w:val="21"/>
              </w:rPr>
              <w:t>评价</w:t>
            </w:r>
            <w:r>
              <w:rPr>
                <w:rFonts w:ascii="仿宋" w:eastAsia="仿宋" w:hAnsi="仿宋" w:hint="eastAsia"/>
                <w:b/>
                <w:bCs/>
                <w:color w:val="000000" w:themeColor="text1"/>
                <w:kern w:val="0"/>
                <w:szCs w:val="21"/>
              </w:rPr>
              <w:t>细则</w:t>
            </w:r>
          </w:p>
        </w:tc>
        <w:tc>
          <w:tcPr>
            <w:tcW w:w="724" w:type="dxa"/>
            <w:vAlign w:val="center"/>
          </w:tcPr>
          <w:p w14:paraId="02FFE5BA" w14:textId="77777777" w:rsidR="00C757E6" w:rsidRDefault="00A358A5">
            <w:pPr>
              <w:widowControl/>
              <w:spacing w:line="400" w:lineRule="exact"/>
              <w:jc w:val="center"/>
              <w:rPr>
                <w:rFonts w:ascii="仿宋" w:eastAsia="仿宋" w:hAnsi="仿宋"/>
                <w:b/>
                <w:bCs/>
                <w:color w:val="000000" w:themeColor="text1"/>
                <w:kern w:val="0"/>
                <w:szCs w:val="21"/>
              </w:rPr>
            </w:pPr>
            <w:r>
              <w:rPr>
                <w:rFonts w:ascii="仿宋" w:eastAsia="仿宋" w:hAnsi="仿宋"/>
                <w:b/>
                <w:bCs/>
                <w:color w:val="000000" w:themeColor="text1"/>
                <w:kern w:val="0"/>
                <w:szCs w:val="21"/>
              </w:rPr>
              <w:t>得分</w:t>
            </w:r>
          </w:p>
        </w:tc>
      </w:tr>
      <w:tr w:rsidR="00C757E6" w14:paraId="61F74AFD" w14:textId="77777777">
        <w:trPr>
          <w:trHeight w:val="968"/>
          <w:jc w:val="center"/>
        </w:trPr>
        <w:tc>
          <w:tcPr>
            <w:tcW w:w="706" w:type="dxa"/>
            <w:vAlign w:val="center"/>
          </w:tcPr>
          <w:p w14:paraId="1D8BF536"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w:t>
            </w:r>
          </w:p>
        </w:tc>
        <w:tc>
          <w:tcPr>
            <w:tcW w:w="1134" w:type="dxa"/>
            <w:vMerge w:val="restart"/>
            <w:vAlign w:val="center"/>
          </w:tcPr>
          <w:p w14:paraId="1D4AEB0A"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实施准备</w:t>
            </w:r>
          </w:p>
          <w:p w14:paraId="5E27B0FA"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(1</w:t>
            </w:r>
            <w:r>
              <w:rPr>
                <w:rFonts w:ascii="仿宋" w:eastAsia="仿宋" w:hAnsi="仿宋" w:hint="eastAsia"/>
                <w:color w:val="000000" w:themeColor="text1"/>
                <w:kern w:val="0"/>
                <w:szCs w:val="21"/>
              </w:rPr>
              <w:t>0</w:t>
            </w:r>
            <w:r>
              <w:rPr>
                <w:rFonts w:ascii="仿宋" w:eastAsia="仿宋" w:hAnsi="仿宋"/>
                <w:color w:val="000000" w:themeColor="text1"/>
                <w:kern w:val="0"/>
                <w:szCs w:val="21"/>
              </w:rPr>
              <w:t>分)</w:t>
            </w:r>
          </w:p>
        </w:tc>
        <w:tc>
          <w:tcPr>
            <w:tcW w:w="1119" w:type="dxa"/>
            <w:vAlign w:val="center"/>
          </w:tcPr>
          <w:p w14:paraId="33BD5890"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政策目标</w:t>
            </w:r>
          </w:p>
        </w:tc>
        <w:tc>
          <w:tcPr>
            <w:tcW w:w="1149" w:type="dxa"/>
            <w:vAlign w:val="center"/>
          </w:tcPr>
          <w:p w14:paraId="01FB5BD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实施</w:t>
            </w:r>
            <w:r>
              <w:rPr>
                <w:rFonts w:ascii="仿宋" w:eastAsia="仿宋" w:hAnsi="仿宋"/>
                <w:color w:val="000000" w:themeColor="text1"/>
                <w:kern w:val="0"/>
                <w:szCs w:val="21"/>
              </w:rPr>
              <w:t>方案</w:t>
            </w:r>
          </w:p>
        </w:tc>
        <w:tc>
          <w:tcPr>
            <w:tcW w:w="1741" w:type="dxa"/>
            <w:vAlign w:val="center"/>
          </w:tcPr>
          <w:p w14:paraId="22FE09B0"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实施</w:t>
            </w:r>
            <w:r>
              <w:rPr>
                <w:rFonts w:ascii="仿宋" w:eastAsia="仿宋" w:hAnsi="仿宋"/>
                <w:color w:val="000000" w:themeColor="text1"/>
                <w:kern w:val="0"/>
                <w:szCs w:val="21"/>
              </w:rPr>
              <w:t>方案</w:t>
            </w:r>
          </w:p>
          <w:p w14:paraId="06C67797"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科学合理</w:t>
            </w:r>
          </w:p>
        </w:tc>
        <w:tc>
          <w:tcPr>
            <w:tcW w:w="680" w:type="dxa"/>
            <w:vAlign w:val="center"/>
          </w:tcPr>
          <w:p w14:paraId="06E68D63"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3</w:t>
            </w:r>
          </w:p>
        </w:tc>
        <w:tc>
          <w:tcPr>
            <w:tcW w:w="6566" w:type="dxa"/>
            <w:vAlign w:val="center"/>
          </w:tcPr>
          <w:p w14:paraId="55CAC4EA"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w:t>
            </w:r>
            <w:r>
              <w:rPr>
                <w:rFonts w:ascii="仿宋" w:eastAsia="仿宋" w:hAnsi="仿宋"/>
                <w:color w:val="000000" w:themeColor="text1"/>
                <w:kern w:val="0"/>
                <w:szCs w:val="21"/>
              </w:rPr>
              <w:t>制定秸秆综合利用</w:t>
            </w:r>
            <w:r>
              <w:rPr>
                <w:rFonts w:ascii="仿宋" w:eastAsia="仿宋" w:hAnsi="仿宋" w:hint="eastAsia"/>
                <w:color w:val="000000" w:themeColor="text1"/>
                <w:kern w:val="0"/>
                <w:szCs w:val="21"/>
              </w:rPr>
              <w:t>重点县项目实施</w:t>
            </w:r>
            <w:r>
              <w:rPr>
                <w:rFonts w:ascii="仿宋" w:eastAsia="仿宋" w:hAnsi="仿宋"/>
                <w:color w:val="000000" w:themeColor="text1"/>
                <w:kern w:val="0"/>
                <w:szCs w:val="21"/>
              </w:rPr>
              <w:t>方案（简称</w:t>
            </w:r>
            <w:r>
              <w:rPr>
                <w:rFonts w:ascii="仿宋" w:eastAsia="仿宋" w:hAnsi="仿宋" w:hint="eastAsia"/>
                <w:color w:val="000000" w:themeColor="text1"/>
                <w:kern w:val="0"/>
                <w:szCs w:val="21"/>
              </w:rPr>
              <w:t>实施</w:t>
            </w:r>
            <w:r>
              <w:rPr>
                <w:rFonts w:ascii="仿宋" w:eastAsia="仿宋" w:hAnsi="仿宋"/>
                <w:color w:val="000000" w:themeColor="text1"/>
                <w:kern w:val="0"/>
                <w:szCs w:val="21"/>
              </w:rPr>
              <w:t>方案）得</w:t>
            </w:r>
            <w:r>
              <w:rPr>
                <w:rFonts w:ascii="仿宋" w:eastAsia="仿宋" w:hAnsi="仿宋" w:hint="eastAsia"/>
                <w:color w:val="000000" w:themeColor="text1"/>
                <w:kern w:val="0"/>
                <w:szCs w:val="21"/>
              </w:rPr>
              <w:t>3分，方案须明确实施条件、建设内容、补助对象及补助标准、保障机制、投资概算、进度安排等内容，每少1项扣0.5分，扣完为止。</w:t>
            </w:r>
          </w:p>
        </w:tc>
        <w:tc>
          <w:tcPr>
            <w:tcW w:w="724" w:type="dxa"/>
            <w:vAlign w:val="center"/>
          </w:tcPr>
          <w:p w14:paraId="5EF11674" w14:textId="77777777" w:rsidR="00C757E6" w:rsidRDefault="00C757E6">
            <w:pPr>
              <w:widowControl/>
              <w:spacing w:line="400" w:lineRule="exact"/>
              <w:jc w:val="center"/>
              <w:rPr>
                <w:rFonts w:ascii="仿宋" w:eastAsia="仿宋" w:hAnsi="仿宋"/>
                <w:color w:val="000000" w:themeColor="text1"/>
                <w:kern w:val="0"/>
                <w:szCs w:val="21"/>
              </w:rPr>
            </w:pPr>
          </w:p>
        </w:tc>
      </w:tr>
      <w:tr w:rsidR="00C757E6" w14:paraId="53A8FFEC" w14:textId="77777777">
        <w:trPr>
          <w:trHeight w:val="739"/>
          <w:jc w:val="center"/>
        </w:trPr>
        <w:tc>
          <w:tcPr>
            <w:tcW w:w="706" w:type="dxa"/>
            <w:vAlign w:val="center"/>
          </w:tcPr>
          <w:p w14:paraId="6704A67F"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2</w:t>
            </w:r>
          </w:p>
        </w:tc>
        <w:tc>
          <w:tcPr>
            <w:tcW w:w="1134" w:type="dxa"/>
            <w:vMerge/>
            <w:vAlign w:val="center"/>
          </w:tcPr>
          <w:p w14:paraId="38744721" w14:textId="77777777" w:rsidR="00C757E6" w:rsidRDefault="00C757E6">
            <w:pPr>
              <w:widowControl/>
              <w:spacing w:line="400" w:lineRule="exact"/>
              <w:jc w:val="center"/>
              <w:rPr>
                <w:rFonts w:ascii="仿宋" w:eastAsia="仿宋" w:hAnsi="仿宋"/>
                <w:color w:val="000000" w:themeColor="text1"/>
                <w:kern w:val="0"/>
                <w:szCs w:val="21"/>
              </w:rPr>
            </w:pPr>
          </w:p>
        </w:tc>
        <w:tc>
          <w:tcPr>
            <w:tcW w:w="1119" w:type="dxa"/>
            <w:vMerge w:val="restart"/>
            <w:vAlign w:val="center"/>
          </w:tcPr>
          <w:p w14:paraId="5FD99387"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决策过程</w:t>
            </w:r>
          </w:p>
        </w:tc>
        <w:tc>
          <w:tcPr>
            <w:tcW w:w="1149" w:type="dxa"/>
            <w:vMerge w:val="restart"/>
            <w:vAlign w:val="center"/>
          </w:tcPr>
          <w:p w14:paraId="38FD9A6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决策</w:t>
            </w:r>
            <w:r>
              <w:rPr>
                <w:rFonts w:ascii="仿宋" w:eastAsia="仿宋" w:hAnsi="仿宋" w:hint="eastAsia"/>
                <w:color w:val="000000" w:themeColor="text1"/>
                <w:kern w:val="0"/>
                <w:szCs w:val="21"/>
              </w:rPr>
              <w:t>程序</w:t>
            </w:r>
          </w:p>
        </w:tc>
        <w:tc>
          <w:tcPr>
            <w:tcW w:w="1741" w:type="dxa"/>
            <w:vAlign w:val="center"/>
          </w:tcPr>
          <w:p w14:paraId="74184A23"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市级遴选</w:t>
            </w:r>
          </w:p>
          <w:p w14:paraId="62E104D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县级申报</w:t>
            </w:r>
          </w:p>
        </w:tc>
        <w:tc>
          <w:tcPr>
            <w:tcW w:w="680" w:type="dxa"/>
            <w:vAlign w:val="center"/>
          </w:tcPr>
          <w:p w14:paraId="6D82B98A"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4</w:t>
            </w:r>
          </w:p>
        </w:tc>
        <w:tc>
          <w:tcPr>
            <w:tcW w:w="6566" w:type="dxa"/>
            <w:vAlign w:val="center"/>
          </w:tcPr>
          <w:p w14:paraId="4B14C763"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项目县召开专门会议研究</w:t>
            </w:r>
            <w:r>
              <w:rPr>
                <w:rFonts w:ascii="仿宋" w:eastAsia="仿宋" w:hAnsi="仿宋"/>
                <w:color w:val="000000" w:themeColor="text1"/>
                <w:kern w:val="0"/>
                <w:szCs w:val="21"/>
              </w:rPr>
              <w:t>组织申报，</w:t>
            </w:r>
            <w:r>
              <w:rPr>
                <w:rFonts w:ascii="仿宋" w:eastAsia="仿宋" w:hAnsi="仿宋" w:hint="eastAsia"/>
                <w:color w:val="000000" w:themeColor="text1"/>
                <w:kern w:val="0"/>
                <w:szCs w:val="21"/>
              </w:rPr>
              <w:t>并出具不发生秸秆露天焚烧、不发生资金违规使用、保证完成任务承诺书，</w:t>
            </w:r>
            <w:r>
              <w:rPr>
                <w:rFonts w:ascii="仿宋" w:eastAsia="仿宋" w:hAnsi="仿宋"/>
                <w:color w:val="000000" w:themeColor="text1"/>
                <w:kern w:val="0"/>
                <w:szCs w:val="21"/>
              </w:rPr>
              <w:t>得</w:t>
            </w:r>
            <w:r>
              <w:rPr>
                <w:rFonts w:ascii="仿宋" w:eastAsia="仿宋" w:hAnsi="仿宋" w:hint="eastAsia"/>
                <w:color w:val="000000" w:themeColor="text1"/>
                <w:kern w:val="0"/>
                <w:szCs w:val="21"/>
              </w:rPr>
              <w:t>1分。市级向省级上报推荐重点县报告，得1分，组织专家评审实施方案合格的，得2分，否则不得分。</w:t>
            </w:r>
          </w:p>
        </w:tc>
        <w:tc>
          <w:tcPr>
            <w:tcW w:w="724" w:type="dxa"/>
            <w:vAlign w:val="center"/>
          </w:tcPr>
          <w:p w14:paraId="7731FC4D" w14:textId="77777777" w:rsidR="00C757E6" w:rsidRDefault="00C757E6">
            <w:pPr>
              <w:widowControl/>
              <w:spacing w:line="400" w:lineRule="exact"/>
              <w:jc w:val="center"/>
              <w:rPr>
                <w:rFonts w:ascii="仿宋" w:eastAsia="仿宋" w:hAnsi="仿宋"/>
                <w:color w:val="000000" w:themeColor="text1"/>
                <w:kern w:val="0"/>
                <w:szCs w:val="21"/>
              </w:rPr>
            </w:pPr>
          </w:p>
        </w:tc>
      </w:tr>
      <w:tr w:rsidR="00C757E6" w14:paraId="1E41730D" w14:textId="77777777">
        <w:trPr>
          <w:trHeight w:val="738"/>
          <w:jc w:val="center"/>
        </w:trPr>
        <w:tc>
          <w:tcPr>
            <w:tcW w:w="706" w:type="dxa"/>
            <w:vAlign w:val="center"/>
          </w:tcPr>
          <w:p w14:paraId="156ED495"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3</w:t>
            </w:r>
          </w:p>
        </w:tc>
        <w:tc>
          <w:tcPr>
            <w:tcW w:w="1134" w:type="dxa"/>
            <w:vMerge/>
            <w:vAlign w:val="center"/>
          </w:tcPr>
          <w:p w14:paraId="57DE156B" w14:textId="77777777" w:rsidR="00C757E6" w:rsidRDefault="00C757E6">
            <w:pPr>
              <w:widowControl/>
              <w:spacing w:line="400" w:lineRule="exact"/>
              <w:jc w:val="center"/>
              <w:rPr>
                <w:rFonts w:ascii="仿宋" w:eastAsia="仿宋" w:hAnsi="仿宋"/>
                <w:color w:val="000000" w:themeColor="text1"/>
                <w:kern w:val="0"/>
                <w:szCs w:val="21"/>
              </w:rPr>
            </w:pPr>
          </w:p>
        </w:tc>
        <w:tc>
          <w:tcPr>
            <w:tcW w:w="1119" w:type="dxa"/>
            <w:vMerge/>
            <w:vAlign w:val="center"/>
          </w:tcPr>
          <w:p w14:paraId="7DE89A09"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vMerge/>
            <w:vAlign w:val="center"/>
          </w:tcPr>
          <w:p w14:paraId="5F6A4840" w14:textId="77777777" w:rsidR="00C757E6" w:rsidRDefault="00C757E6">
            <w:pPr>
              <w:widowControl/>
              <w:spacing w:line="400" w:lineRule="exact"/>
              <w:jc w:val="center"/>
              <w:rPr>
                <w:rFonts w:ascii="仿宋" w:eastAsia="仿宋" w:hAnsi="仿宋"/>
                <w:color w:val="000000" w:themeColor="text1"/>
                <w:kern w:val="0"/>
                <w:szCs w:val="21"/>
              </w:rPr>
            </w:pPr>
          </w:p>
        </w:tc>
        <w:tc>
          <w:tcPr>
            <w:tcW w:w="1741" w:type="dxa"/>
            <w:vAlign w:val="center"/>
          </w:tcPr>
          <w:p w14:paraId="0B629832"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及时上报和公示</w:t>
            </w:r>
            <w:r>
              <w:rPr>
                <w:rFonts w:ascii="仿宋" w:eastAsia="仿宋" w:hAnsi="仿宋"/>
                <w:color w:val="000000" w:themeColor="text1"/>
                <w:kern w:val="0"/>
                <w:szCs w:val="21"/>
              </w:rPr>
              <w:t>实施方案</w:t>
            </w:r>
          </w:p>
        </w:tc>
        <w:tc>
          <w:tcPr>
            <w:tcW w:w="680" w:type="dxa"/>
            <w:vAlign w:val="center"/>
          </w:tcPr>
          <w:p w14:paraId="60755A94"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3</w:t>
            </w:r>
          </w:p>
        </w:tc>
        <w:tc>
          <w:tcPr>
            <w:tcW w:w="6566" w:type="dxa"/>
            <w:vAlign w:val="center"/>
          </w:tcPr>
          <w:p w14:paraId="1120C43F"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经市评审通过的县</w:t>
            </w:r>
            <w:r>
              <w:rPr>
                <w:rFonts w:ascii="仿宋" w:eastAsia="仿宋" w:hAnsi="仿宋"/>
                <w:color w:val="000000" w:themeColor="text1"/>
                <w:kern w:val="0"/>
                <w:szCs w:val="21"/>
              </w:rPr>
              <w:t>实施方案在</w:t>
            </w:r>
            <w:r>
              <w:rPr>
                <w:rFonts w:ascii="仿宋" w:eastAsia="仿宋" w:hAnsi="仿宋" w:hint="eastAsia"/>
                <w:color w:val="000000" w:themeColor="text1"/>
                <w:kern w:val="0"/>
                <w:szCs w:val="21"/>
              </w:rPr>
              <w:t>2020年6月30日之前报送省级有关部门备案的，得2分，否则不得分。方案批复后在县级人民政府网站或县级农业部门网站等政府门户网站上公开的，得1分，否则不得分。</w:t>
            </w:r>
          </w:p>
        </w:tc>
        <w:tc>
          <w:tcPr>
            <w:tcW w:w="724" w:type="dxa"/>
            <w:vAlign w:val="center"/>
          </w:tcPr>
          <w:p w14:paraId="31156E9E" w14:textId="77777777" w:rsidR="00C757E6" w:rsidRDefault="00C757E6">
            <w:pPr>
              <w:widowControl/>
              <w:spacing w:line="400" w:lineRule="exact"/>
              <w:rPr>
                <w:rFonts w:ascii="仿宋" w:eastAsia="仿宋" w:hAnsi="仿宋"/>
                <w:color w:val="000000" w:themeColor="text1"/>
                <w:kern w:val="0"/>
                <w:szCs w:val="21"/>
              </w:rPr>
            </w:pPr>
          </w:p>
        </w:tc>
      </w:tr>
      <w:tr w:rsidR="00C757E6" w14:paraId="0032E1DD" w14:textId="77777777">
        <w:trPr>
          <w:trHeight w:val="775"/>
          <w:jc w:val="center"/>
        </w:trPr>
        <w:tc>
          <w:tcPr>
            <w:tcW w:w="706" w:type="dxa"/>
            <w:vAlign w:val="center"/>
          </w:tcPr>
          <w:p w14:paraId="4FE7706B"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4</w:t>
            </w:r>
          </w:p>
        </w:tc>
        <w:tc>
          <w:tcPr>
            <w:tcW w:w="1134" w:type="dxa"/>
            <w:vMerge w:val="restart"/>
            <w:vAlign w:val="center"/>
          </w:tcPr>
          <w:p w14:paraId="7CD0A9A3" w14:textId="77777777" w:rsidR="00C757E6" w:rsidRDefault="00C757E6">
            <w:pPr>
              <w:spacing w:line="400" w:lineRule="exact"/>
              <w:jc w:val="center"/>
              <w:rPr>
                <w:rFonts w:ascii="仿宋" w:eastAsia="仿宋" w:hAnsi="仿宋"/>
                <w:color w:val="000000" w:themeColor="text1"/>
                <w:kern w:val="0"/>
                <w:szCs w:val="21"/>
              </w:rPr>
            </w:pPr>
          </w:p>
          <w:p w14:paraId="6C08BA37" w14:textId="77777777" w:rsidR="00C757E6" w:rsidRDefault="00C757E6">
            <w:pPr>
              <w:spacing w:line="400" w:lineRule="exact"/>
              <w:jc w:val="center"/>
              <w:rPr>
                <w:rFonts w:ascii="仿宋" w:eastAsia="仿宋" w:hAnsi="仿宋"/>
                <w:color w:val="000000" w:themeColor="text1"/>
                <w:kern w:val="0"/>
                <w:szCs w:val="21"/>
              </w:rPr>
            </w:pPr>
          </w:p>
          <w:p w14:paraId="25DCAE51" w14:textId="77777777" w:rsidR="00C757E6" w:rsidRDefault="00C757E6">
            <w:pPr>
              <w:spacing w:line="400" w:lineRule="exact"/>
              <w:jc w:val="center"/>
              <w:rPr>
                <w:rFonts w:ascii="仿宋" w:eastAsia="仿宋" w:hAnsi="仿宋"/>
                <w:color w:val="000000" w:themeColor="text1"/>
                <w:kern w:val="0"/>
                <w:szCs w:val="21"/>
              </w:rPr>
            </w:pPr>
          </w:p>
          <w:p w14:paraId="1E182747" w14:textId="77777777" w:rsidR="00C757E6" w:rsidRDefault="00A358A5">
            <w:pPr>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实施</w:t>
            </w:r>
            <w:r>
              <w:rPr>
                <w:rFonts w:ascii="仿宋" w:eastAsia="仿宋" w:hAnsi="仿宋" w:hint="eastAsia"/>
                <w:color w:val="000000" w:themeColor="text1"/>
                <w:kern w:val="0"/>
                <w:szCs w:val="21"/>
              </w:rPr>
              <w:t>过程</w:t>
            </w:r>
            <w:r>
              <w:rPr>
                <w:rFonts w:ascii="仿宋" w:eastAsia="仿宋" w:hAnsi="仿宋"/>
                <w:color w:val="000000" w:themeColor="text1"/>
                <w:kern w:val="0"/>
                <w:szCs w:val="21"/>
              </w:rPr>
              <w:t>(</w:t>
            </w:r>
            <w:r>
              <w:rPr>
                <w:rFonts w:ascii="仿宋" w:eastAsia="仿宋" w:hAnsi="仿宋" w:hint="eastAsia"/>
                <w:color w:val="000000" w:themeColor="text1"/>
                <w:kern w:val="0"/>
                <w:szCs w:val="21"/>
              </w:rPr>
              <w:t>45</w:t>
            </w:r>
            <w:r>
              <w:rPr>
                <w:rFonts w:ascii="仿宋" w:eastAsia="仿宋" w:hAnsi="仿宋"/>
                <w:color w:val="000000" w:themeColor="text1"/>
                <w:kern w:val="0"/>
                <w:szCs w:val="21"/>
              </w:rPr>
              <w:t>分)</w:t>
            </w:r>
          </w:p>
          <w:p w14:paraId="1FA79E12" w14:textId="77777777" w:rsidR="00C757E6" w:rsidRDefault="00C757E6">
            <w:pPr>
              <w:spacing w:line="400" w:lineRule="exact"/>
              <w:jc w:val="center"/>
              <w:rPr>
                <w:rFonts w:ascii="仿宋" w:eastAsia="仿宋" w:hAnsi="仿宋"/>
                <w:color w:val="000000" w:themeColor="text1"/>
                <w:kern w:val="0"/>
                <w:szCs w:val="21"/>
              </w:rPr>
            </w:pPr>
          </w:p>
          <w:p w14:paraId="7C67D2C1" w14:textId="77777777" w:rsidR="00C757E6" w:rsidRDefault="00C757E6">
            <w:pPr>
              <w:spacing w:line="400" w:lineRule="exact"/>
              <w:jc w:val="center"/>
              <w:rPr>
                <w:rFonts w:ascii="仿宋" w:eastAsia="仿宋" w:hAnsi="仿宋"/>
                <w:color w:val="000000" w:themeColor="text1"/>
                <w:kern w:val="0"/>
                <w:szCs w:val="21"/>
              </w:rPr>
            </w:pPr>
          </w:p>
          <w:p w14:paraId="360D3B7D" w14:textId="77777777" w:rsidR="00C757E6" w:rsidRDefault="00C757E6">
            <w:pPr>
              <w:spacing w:line="400" w:lineRule="exact"/>
              <w:jc w:val="center"/>
              <w:rPr>
                <w:rFonts w:ascii="仿宋" w:eastAsia="仿宋" w:hAnsi="仿宋"/>
                <w:color w:val="000000" w:themeColor="text1"/>
                <w:kern w:val="0"/>
                <w:szCs w:val="21"/>
              </w:rPr>
            </w:pPr>
          </w:p>
          <w:p w14:paraId="34AFEA2D" w14:textId="77777777" w:rsidR="00C757E6" w:rsidRDefault="00C757E6">
            <w:pPr>
              <w:spacing w:line="400" w:lineRule="exact"/>
              <w:jc w:val="center"/>
              <w:rPr>
                <w:rFonts w:ascii="仿宋" w:eastAsia="仿宋" w:hAnsi="仿宋"/>
                <w:color w:val="000000" w:themeColor="text1"/>
                <w:kern w:val="0"/>
                <w:szCs w:val="21"/>
              </w:rPr>
            </w:pPr>
          </w:p>
          <w:p w14:paraId="5BB789ED" w14:textId="77777777" w:rsidR="00C757E6" w:rsidRDefault="00C757E6">
            <w:pPr>
              <w:spacing w:line="400" w:lineRule="exact"/>
              <w:jc w:val="center"/>
              <w:rPr>
                <w:rFonts w:ascii="仿宋" w:eastAsia="仿宋" w:hAnsi="仿宋"/>
                <w:color w:val="000000" w:themeColor="text1"/>
                <w:kern w:val="0"/>
                <w:szCs w:val="21"/>
              </w:rPr>
            </w:pPr>
          </w:p>
          <w:p w14:paraId="2B33312D" w14:textId="77777777" w:rsidR="00C757E6" w:rsidRDefault="00C757E6">
            <w:pPr>
              <w:spacing w:line="400" w:lineRule="exact"/>
              <w:jc w:val="center"/>
              <w:rPr>
                <w:rFonts w:ascii="仿宋" w:eastAsia="仿宋" w:hAnsi="仿宋"/>
                <w:color w:val="000000" w:themeColor="text1"/>
                <w:kern w:val="0"/>
                <w:szCs w:val="21"/>
              </w:rPr>
            </w:pPr>
          </w:p>
          <w:p w14:paraId="65F24A49" w14:textId="77777777" w:rsidR="00C757E6" w:rsidRDefault="00C757E6">
            <w:pPr>
              <w:spacing w:line="400" w:lineRule="exact"/>
              <w:jc w:val="center"/>
              <w:rPr>
                <w:rFonts w:ascii="仿宋" w:eastAsia="仿宋" w:hAnsi="仿宋"/>
                <w:color w:val="000000" w:themeColor="text1"/>
                <w:kern w:val="0"/>
                <w:szCs w:val="21"/>
              </w:rPr>
            </w:pPr>
          </w:p>
          <w:p w14:paraId="1B18C28A" w14:textId="77777777" w:rsidR="00C757E6" w:rsidRDefault="00C757E6">
            <w:pPr>
              <w:spacing w:line="400" w:lineRule="exact"/>
              <w:jc w:val="center"/>
              <w:rPr>
                <w:rFonts w:ascii="仿宋" w:eastAsia="仿宋" w:hAnsi="仿宋"/>
                <w:color w:val="000000" w:themeColor="text1"/>
                <w:kern w:val="0"/>
                <w:szCs w:val="21"/>
              </w:rPr>
            </w:pPr>
          </w:p>
          <w:p w14:paraId="1FEBF0D1" w14:textId="77777777" w:rsidR="00C757E6" w:rsidRDefault="00C757E6">
            <w:pPr>
              <w:spacing w:line="400" w:lineRule="exact"/>
              <w:jc w:val="center"/>
              <w:rPr>
                <w:rFonts w:ascii="仿宋" w:eastAsia="仿宋" w:hAnsi="仿宋"/>
                <w:color w:val="000000" w:themeColor="text1"/>
                <w:kern w:val="0"/>
                <w:szCs w:val="21"/>
              </w:rPr>
            </w:pPr>
          </w:p>
          <w:p w14:paraId="39823CBF" w14:textId="77777777" w:rsidR="00C757E6" w:rsidRDefault="00C757E6">
            <w:pPr>
              <w:spacing w:line="400" w:lineRule="exact"/>
              <w:jc w:val="center"/>
              <w:rPr>
                <w:rFonts w:ascii="仿宋" w:eastAsia="仿宋" w:hAnsi="仿宋"/>
                <w:color w:val="000000" w:themeColor="text1"/>
                <w:kern w:val="0"/>
                <w:szCs w:val="21"/>
              </w:rPr>
            </w:pPr>
          </w:p>
          <w:p w14:paraId="5461356A" w14:textId="77777777" w:rsidR="00C757E6" w:rsidRDefault="00C757E6">
            <w:pPr>
              <w:spacing w:line="400" w:lineRule="exact"/>
              <w:jc w:val="center"/>
              <w:rPr>
                <w:rFonts w:ascii="仿宋" w:eastAsia="仿宋" w:hAnsi="仿宋"/>
                <w:color w:val="000000" w:themeColor="text1"/>
                <w:kern w:val="0"/>
                <w:szCs w:val="21"/>
              </w:rPr>
            </w:pPr>
          </w:p>
        </w:tc>
        <w:tc>
          <w:tcPr>
            <w:tcW w:w="1119" w:type="dxa"/>
            <w:vMerge w:val="restart"/>
            <w:vAlign w:val="center"/>
          </w:tcPr>
          <w:p w14:paraId="304B0F08" w14:textId="77777777" w:rsidR="00C757E6" w:rsidRDefault="00C757E6">
            <w:pPr>
              <w:spacing w:line="400" w:lineRule="exact"/>
              <w:jc w:val="center"/>
              <w:rPr>
                <w:rFonts w:ascii="仿宋" w:eastAsia="仿宋" w:hAnsi="仿宋"/>
                <w:color w:val="000000" w:themeColor="text1"/>
                <w:kern w:val="0"/>
                <w:szCs w:val="21"/>
              </w:rPr>
            </w:pPr>
          </w:p>
          <w:p w14:paraId="4A8C727C" w14:textId="77777777" w:rsidR="00C757E6" w:rsidRDefault="00C757E6">
            <w:pPr>
              <w:spacing w:line="400" w:lineRule="exact"/>
              <w:jc w:val="center"/>
              <w:rPr>
                <w:rFonts w:ascii="仿宋" w:eastAsia="仿宋" w:hAnsi="仿宋"/>
                <w:color w:val="000000" w:themeColor="text1"/>
                <w:kern w:val="0"/>
                <w:szCs w:val="21"/>
              </w:rPr>
            </w:pPr>
          </w:p>
          <w:p w14:paraId="0910CAF4" w14:textId="77777777" w:rsidR="00C757E6" w:rsidRDefault="00C757E6">
            <w:pPr>
              <w:spacing w:line="400" w:lineRule="exact"/>
              <w:jc w:val="center"/>
              <w:rPr>
                <w:rFonts w:ascii="仿宋" w:eastAsia="仿宋" w:hAnsi="仿宋"/>
                <w:color w:val="000000" w:themeColor="text1"/>
                <w:kern w:val="0"/>
                <w:szCs w:val="21"/>
              </w:rPr>
            </w:pPr>
          </w:p>
          <w:p w14:paraId="6446A630" w14:textId="77777777" w:rsidR="00C757E6" w:rsidRDefault="00A358A5">
            <w:pPr>
              <w:spacing w:line="400" w:lineRule="exact"/>
              <w:rPr>
                <w:rFonts w:ascii="仿宋" w:eastAsia="仿宋" w:hAnsi="仿宋"/>
                <w:color w:val="000000" w:themeColor="text1"/>
                <w:kern w:val="0"/>
                <w:szCs w:val="21"/>
              </w:rPr>
            </w:pPr>
            <w:r>
              <w:rPr>
                <w:rFonts w:ascii="仿宋" w:eastAsia="仿宋" w:hAnsi="仿宋"/>
                <w:color w:val="000000" w:themeColor="text1"/>
                <w:kern w:val="0"/>
                <w:szCs w:val="21"/>
              </w:rPr>
              <w:t>组织实施</w:t>
            </w:r>
          </w:p>
          <w:p w14:paraId="05627E72" w14:textId="77777777" w:rsidR="00C757E6" w:rsidRDefault="00C757E6">
            <w:pPr>
              <w:spacing w:line="400" w:lineRule="exact"/>
              <w:jc w:val="center"/>
              <w:rPr>
                <w:rFonts w:ascii="仿宋" w:eastAsia="仿宋" w:hAnsi="仿宋"/>
                <w:color w:val="000000" w:themeColor="text1"/>
                <w:kern w:val="0"/>
                <w:szCs w:val="21"/>
              </w:rPr>
            </w:pPr>
          </w:p>
          <w:p w14:paraId="2E998A52" w14:textId="77777777" w:rsidR="00C757E6" w:rsidRDefault="00C757E6">
            <w:pPr>
              <w:spacing w:line="400" w:lineRule="exact"/>
              <w:jc w:val="center"/>
              <w:rPr>
                <w:rFonts w:ascii="仿宋" w:eastAsia="仿宋" w:hAnsi="仿宋"/>
                <w:color w:val="000000" w:themeColor="text1"/>
                <w:kern w:val="0"/>
                <w:szCs w:val="21"/>
              </w:rPr>
            </w:pPr>
          </w:p>
          <w:p w14:paraId="535C3A63" w14:textId="77777777" w:rsidR="00C757E6" w:rsidRDefault="00C757E6">
            <w:pPr>
              <w:spacing w:line="400" w:lineRule="exact"/>
              <w:jc w:val="center"/>
              <w:rPr>
                <w:rFonts w:ascii="仿宋" w:eastAsia="仿宋" w:hAnsi="仿宋"/>
                <w:color w:val="000000" w:themeColor="text1"/>
                <w:kern w:val="0"/>
                <w:szCs w:val="21"/>
              </w:rPr>
            </w:pPr>
          </w:p>
          <w:p w14:paraId="1438D690" w14:textId="77777777" w:rsidR="00C757E6" w:rsidRDefault="00C757E6">
            <w:pPr>
              <w:spacing w:line="400" w:lineRule="exact"/>
              <w:jc w:val="center"/>
              <w:rPr>
                <w:rFonts w:ascii="仿宋" w:eastAsia="仿宋" w:hAnsi="仿宋"/>
                <w:color w:val="000000" w:themeColor="text1"/>
                <w:kern w:val="0"/>
                <w:szCs w:val="21"/>
              </w:rPr>
            </w:pPr>
          </w:p>
          <w:p w14:paraId="638C09AF" w14:textId="77777777" w:rsidR="00C757E6" w:rsidRDefault="00C757E6">
            <w:pPr>
              <w:spacing w:line="400" w:lineRule="exact"/>
              <w:jc w:val="center"/>
              <w:rPr>
                <w:rFonts w:ascii="仿宋" w:eastAsia="仿宋" w:hAnsi="仿宋"/>
                <w:color w:val="000000" w:themeColor="text1"/>
                <w:kern w:val="0"/>
                <w:szCs w:val="21"/>
              </w:rPr>
            </w:pPr>
          </w:p>
          <w:p w14:paraId="0E5C6155" w14:textId="77777777" w:rsidR="00C757E6" w:rsidRDefault="00C757E6">
            <w:pPr>
              <w:spacing w:line="400" w:lineRule="exact"/>
              <w:jc w:val="center"/>
              <w:rPr>
                <w:rFonts w:ascii="仿宋" w:eastAsia="仿宋" w:hAnsi="仿宋"/>
                <w:color w:val="000000" w:themeColor="text1"/>
                <w:kern w:val="0"/>
                <w:szCs w:val="21"/>
              </w:rPr>
            </w:pPr>
          </w:p>
          <w:p w14:paraId="090EBCCB" w14:textId="77777777" w:rsidR="00C757E6" w:rsidRDefault="00C757E6">
            <w:pPr>
              <w:spacing w:line="400" w:lineRule="exact"/>
              <w:jc w:val="center"/>
              <w:rPr>
                <w:rFonts w:ascii="仿宋" w:eastAsia="仿宋" w:hAnsi="仿宋"/>
                <w:color w:val="000000" w:themeColor="text1"/>
                <w:kern w:val="0"/>
                <w:szCs w:val="21"/>
              </w:rPr>
            </w:pPr>
          </w:p>
          <w:p w14:paraId="156D7318" w14:textId="77777777" w:rsidR="00C757E6" w:rsidRDefault="00C757E6">
            <w:pPr>
              <w:spacing w:line="400" w:lineRule="exact"/>
              <w:jc w:val="center"/>
              <w:rPr>
                <w:rFonts w:ascii="仿宋" w:eastAsia="仿宋" w:hAnsi="仿宋"/>
                <w:color w:val="000000" w:themeColor="text1"/>
                <w:kern w:val="0"/>
                <w:szCs w:val="21"/>
              </w:rPr>
            </w:pPr>
          </w:p>
          <w:p w14:paraId="22E50DCD" w14:textId="77777777" w:rsidR="00C757E6" w:rsidRDefault="00C757E6">
            <w:pPr>
              <w:spacing w:line="400" w:lineRule="exact"/>
              <w:jc w:val="center"/>
              <w:rPr>
                <w:rFonts w:ascii="仿宋" w:eastAsia="仿宋" w:hAnsi="仿宋"/>
                <w:color w:val="000000" w:themeColor="text1"/>
                <w:kern w:val="0"/>
                <w:szCs w:val="21"/>
              </w:rPr>
            </w:pPr>
          </w:p>
          <w:p w14:paraId="484F4026" w14:textId="77777777" w:rsidR="00C757E6" w:rsidRDefault="00C757E6">
            <w:pPr>
              <w:spacing w:line="400" w:lineRule="exact"/>
              <w:jc w:val="center"/>
              <w:rPr>
                <w:rFonts w:ascii="仿宋" w:eastAsia="仿宋" w:hAnsi="仿宋"/>
                <w:color w:val="000000" w:themeColor="text1"/>
                <w:kern w:val="0"/>
                <w:szCs w:val="21"/>
              </w:rPr>
            </w:pPr>
          </w:p>
          <w:p w14:paraId="235CC102" w14:textId="77777777" w:rsidR="00C757E6" w:rsidRDefault="00C757E6">
            <w:pPr>
              <w:spacing w:line="400" w:lineRule="exact"/>
              <w:jc w:val="center"/>
              <w:rPr>
                <w:rFonts w:ascii="仿宋" w:eastAsia="仿宋" w:hAnsi="仿宋"/>
                <w:color w:val="000000" w:themeColor="text1"/>
                <w:kern w:val="0"/>
                <w:szCs w:val="21"/>
              </w:rPr>
            </w:pPr>
          </w:p>
          <w:p w14:paraId="38651CFA" w14:textId="77777777" w:rsidR="00C757E6" w:rsidRDefault="00A358A5">
            <w:pPr>
              <w:spacing w:line="400" w:lineRule="exact"/>
              <w:rPr>
                <w:rFonts w:ascii="仿宋" w:eastAsia="仿宋" w:hAnsi="仿宋"/>
                <w:color w:val="000000" w:themeColor="text1"/>
                <w:kern w:val="0"/>
                <w:szCs w:val="21"/>
              </w:rPr>
            </w:pPr>
            <w:r>
              <w:rPr>
                <w:rFonts w:ascii="仿宋" w:eastAsia="仿宋" w:hAnsi="仿宋" w:hint="eastAsia"/>
                <w:color w:val="000000" w:themeColor="text1"/>
                <w:kern w:val="0"/>
                <w:szCs w:val="21"/>
              </w:rPr>
              <w:t>项目执行</w:t>
            </w:r>
          </w:p>
        </w:tc>
        <w:tc>
          <w:tcPr>
            <w:tcW w:w="1149" w:type="dxa"/>
            <w:vAlign w:val="center"/>
          </w:tcPr>
          <w:p w14:paraId="1A1585F4"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组织领导</w:t>
            </w:r>
          </w:p>
        </w:tc>
        <w:tc>
          <w:tcPr>
            <w:tcW w:w="1741" w:type="dxa"/>
            <w:vAlign w:val="center"/>
          </w:tcPr>
          <w:p w14:paraId="46C0A108"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秸秆综合利用领导组</w:t>
            </w:r>
          </w:p>
        </w:tc>
        <w:tc>
          <w:tcPr>
            <w:tcW w:w="680" w:type="dxa"/>
            <w:vAlign w:val="center"/>
          </w:tcPr>
          <w:p w14:paraId="66EE7D0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2</w:t>
            </w:r>
          </w:p>
        </w:tc>
        <w:tc>
          <w:tcPr>
            <w:tcW w:w="6566" w:type="dxa"/>
            <w:vAlign w:val="center"/>
          </w:tcPr>
          <w:p w14:paraId="663E8C0B"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项目县成立县政府主要领导任组长的秸秆综合利用工作领导组，具体负责相关目标任务推进落实的得2分，否则不得分。</w:t>
            </w:r>
          </w:p>
        </w:tc>
        <w:tc>
          <w:tcPr>
            <w:tcW w:w="724" w:type="dxa"/>
            <w:vAlign w:val="center"/>
          </w:tcPr>
          <w:p w14:paraId="088F656E" w14:textId="77777777" w:rsidR="00C757E6" w:rsidRDefault="00C757E6">
            <w:pPr>
              <w:widowControl/>
              <w:spacing w:line="400" w:lineRule="exact"/>
              <w:rPr>
                <w:rFonts w:ascii="仿宋" w:eastAsia="仿宋" w:hAnsi="仿宋"/>
                <w:color w:val="000000" w:themeColor="text1"/>
                <w:kern w:val="0"/>
                <w:szCs w:val="21"/>
              </w:rPr>
            </w:pPr>
          </w:p>
        </w:tc>
      </w:tr>
      <w:tr w:rsidR="00C757E6" w14:paraId="31E35F05" w14:textId="77777777">
        <w:trPr>
          <w:trHeight w:val="694"/>
          <w:jc w:val="center"/>
        </w:trPr>
        <w:tc>
          <w:tcPr>
            <w:tcW w:w="706" w:type="dxa"/>
            <w:vAlign w:val="center"/>
          </w:tcPr>
          <w:p w14:paraId="3B0F97E7"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5</w:t>
            </w:r>
          </w:p>
        </w:tc>
        <w:tc>
          <w:tcPr>
            <w:tcW w:w="1134" w:type="dxa"/>
            <w:vMerge/>
            <w:vAlign w:val="center"/>
          </w:tcPr>
          <w:p w14:paraId="604350BC" w14:textId="77777777" w:rsidR="00C757E6" w:rsidRDefault="00C757E6">
            <w:pPr>
              <w:widowControl/>
              <w:spacing w:line="400" w:lineRule="exact"/>
              <w:jc w:val="center"/>
              <w:rPr>
                <w:rFonts w:ascii="仿宋" w:eastAsia="仿宋" w:hAnsi="仿宋"/>
                <w:color w:val="000000" w:themeColor="text1"/>
                <w:kern w:val="0"/>
                <w:szCs w:val="21"/>
              </w:rPr>
            </w:pPr>
          </w:p>
        </w:tc>
        <w:tc>
          <w:tcPr>
            <w:tcW w:w="1119" w:type="dxa"/>
            <w:vMerge/>
            <w:vAlign w:val="center"/>
          </w:tcPr>
          <w:p w14:paraId="117D2008"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vAlign w:val="center"/>
          </w:tcPr>
          <w:p w14:paraId="08427D52"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技术培训示范观摩</w:t>
            </w:r>
          </w:p>
        </w:tc>
        <w:tc>
          <w:tcPr>
            <w:tcW w:w="1741" w:type="dxa"/>
            <w:vAlign w:val="center"/>
          </w:tcPr>
          <w:p w14:paraId="79CE5EEB"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开展项目</w:t>
            </w:r>
            <w:r>
              <w:rPr>
                <w:rFonts w:ascii="仿宋" w:eastAsia="仿宋" w:hAnsi="仿宋"/>
                <w:color w:val="000000" w:themeColor="text1"/>
                <w:kern w:val="0"/>
                <w:szCs w:val="21"/>
              </w:rPr>
              <w:t>培训</w:t>
            </w:r>
          </w:p>
          <w:p w14:paraId="7D1C5D0C"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示范观摩</w:t>
            </w:r>
          </w:p>
        </w:tc>
        <w:tc>
          <w:tcPr>
            <w:tcW w:w="680" w:type="dxa"/>
            <w:vAlign w:val="center"/>
          </w:tcPr>
          <w:p w14:paraId="442A82FB"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4</w:t>
            </w:r>
          </w:p>
        </w:tc>
        <w:tc>
          <w:tcPr>
            <w:tcW w:w="6566" w:type="dxa"/>
            <w:vAlign w:val="center"/>
          </w:tcPr>
          <w:p w14:paraId="2DEFA722"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项目县至少</w:t>
            </w:r>
            <w:r>
              <w:rPr>
                <w:rFonts w:ascii="仿宋" w:eastAsia="仿宋" w:hAnsi="仿宋"/>
                <w:color w:val="000000" w:themeColor="text1"/>
                <w:kern w:val="0"/>
                <w:szCs w:val="21"/>
              </w:rPr>
              <w:t>开展</w:t>
            </w:r>
            <w:r>
              <w:rPr>
                <w:rFonts w:ascii="仿宋" w:eastAsia="仿宋" w:hAnsi="仿宋" w:hint="eastAsia"/>
                <w:color w:val="000000" w:themeColor="text1"/>
                <w:kern w:val="0"/>
                <w:szCs w:val="21"/>
              </w:rPr>
              <w:t>1</w:t>
            </w:r>
            <w:r>
              <w:rPr>
                <w:rFonts w:ascii="仿宋" w:eastAsia="仿宋" w:hAnsi="仿宋"/>
                <w:color w:val="000000" w:themeColor="text1"/>
                <w:kern w:val="0"/>
                <w:szCs w:val="21"/>
              </w:rPr>
              <w:t>次</w:t>
            </w:r>
            <w:r>
              <w:rPr>
                <w:rFonts w:ascii="仿宋" w:eastAsia="仿宋" w:hAnsi="仿宋" w:hint="eastAsia"/>
                <w:color w:val="000000" w:themeColor="text1"/>
                <w:kern w:val="0"/>
                <w:szCs w:val="21"/>
              </w:rPr>
              <w:t>秸秆综合利用技术培训、组织1次秸秆综合利用示范观摩活动，否则不得分。</w:t>
            </w:r>
          </w:p>
        </w:tc>
        <w:tc>
          <w:tcPr>
            <w:tcW w:w="724" w:type="dxa"/>
            <w:vAlign w:val="center"/>
          </w:tcPr>
          <w:p w14:paraId="5DEB95EC" w14:textId="77777777" w:rsidR="00C757E6" w:rsidRDefault="00C757E6">
            <w:pPr>
              <w:widowControl/>
              <w:spacing w:line="400" w:lineRule="exact"/>
              <w:rPr>
                <w:rFonts w:ascii="仿宋" w:eastAsia="仿宋" w:hAnsi="仿宋"/>
                <w:color w:val="000000" w:themeColor="text1"/>
                <w:kern w:val="0"/>
                <w:szCs w:val="21"/>
              </w:rPr>
            </w:pPr>
          </w:p>
        </w:tc>
      </w:tr>
      <w:tr w:rsidR="00C757E6" w14:paraId="535A4165" w14:textId="77777777">
        <w:trPr>
          <w:trHeight w:val="797"/>
          <w:jc w:val="center"/>
        </w:trPr>
        <w:tc>
          <w:tcPr>
            <w:tcW w:w="706" w:type="dxa"/>
            <w:vAlign w:val="center"/>
          </w:tcPr>
          <w:p w14:paraId="7AC105F3"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6</w:t>
            </w:r>
          </w:p>
        </w:tc>
        <w:tc>
          <w:tcPr>
            <w:tcW w:w="1134" w:type="dxa"/>
            <w:vMerge/>
            <w:vAlign w:val="center"/>
          </w:tcPr>
          <w:p w14:paraId="5A0E31E3"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6D9CBFFB"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vAlign w:val="center"/>
          </w:tcPr>
          <w:p w14:paraId="317DFD5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技术支撑</w:t>
            </w:r>
          </w:p>
        </w:tc>
        <w:tc>
          <w:tcPr>
            <w:tcW w:w="1741" w:type="dxa"/>
            <w:vAlign w:val="center"/>
          </w:tcPr>
          <w:p w14:paraId="496BCD17"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秸秆综合</w:t>
            </w:r>
            <w:r>
              <w:rPr>
                <w:rFonts w:ascii="仿宋" w:eastAsia="仿宋" w:hAnsi="仿宋" w:hint="eastAsia"/>
                <w:color w:val="000000" w:themeColor="text1"/>
                <w:kern w:val="0"/>
                <w:szCs w:val="21"/>
              </w:rPr>
              <w:t>利用</w:t>
            </w:r>
          </w:p>
          <w:p w14:paraId="47A7BBD4"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技术支撑</w:t>
            </w:r>
          </w:p>
        </w:tc>
        <w:tc>
          <w:tcPr>
            <w:tcW w:w="680" w:type="dxa"/>
            <w:vAlign w:val="center"/>
          </w:tcPr>
          <w:p w14:paraId="08DD910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3</w:t>
            </w:r>
          </w:p>
        </w:tc>
        <w:tc>
          <w:tcPr>
            <w:tcW w:w="6566" w:type="dxa"/>
            <w:vAlign w:val="center"/>
          </w:tcPr>
          <w:p w14:paraId="371096CD"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w:t>
            </w:r>
            <w:r>
              <w:rPr>
                <w:rFonts w:ascii="仿宋" w:eastAsia="仿宋" w:hAnsi="仿宋"/>
                <w:color w:val="000000" w:themeColor="text1"/>
                <w:kern w:val="0"/>
                <w:szCs w:val="21"/>
              </w:rPr>
              <w:t>县成立技术</w:t>
            </w:r>
            <w:r>
              <w:rPr>
                <w:rFonts w:ascii="仿宋" w:eastAsia="仿宋" w:hAnsi="仿宋" w:hint="eastAsia"/>
                <w:color w:val="000000" w:themeColor="text1"/>
                <w:kern w:val="0"/>
                <w:szCs w:val="21"/>
              </w:rPr>
              <w:t>指导</w:t>
            </w:r>
            <w:r>
              <w:rPr>
                <w:rFonts w:ascii="仿宋" w:eastAsia="仿宋" w:hAnsi="仿宋"/>
                <w:color w:val="000000" w:themeColor="text1"/>
                <w:kern w:val="0"/>
                <w:szCs w:val="21"/>
              </w:rPr>
              <w:t>组的，得</w:t>
            </w:r>
            <w:r>
              <w:rPr>
                <w:rFonts w:ascii="仿宋" w:eastAsia="仿宋" w:hAnsi="仿宋" w:hint="eastAsia"/>
                <w:color w:val="000000" w:themeColor="text1"/>
                <w:kern w:val="0"/>
                <w:szCs w:val="21"/>
              </w:rPr>
              <w:t>1分，未成立不得分；项目县要加强和省、市技术专家组协作，积极开展技术服务，发挥实际作用（如开展模式总结、技术总结，开展实地技术指导、培训授课等），得2分，否则不得分。</w:t>
            </w:r>
          </w:p>
        </w:tc>
        <w:tc>
          <w:tcPr>
            <w:tcW w:w="724" w:type="dxa"/>
            <w:vAlign w:val="center"/>
          </w:tcPr>
          <w:p w14:paraId="1275FC3C" w14:textId="77777777" w:rsidR="00C757E6" w:rsidRDefault="00C757E6">
            <w:pPr>
              <w:widowControl/>
              <w:spacing w:line="400" w:lineRule="exact"/>
              <w:rPr>
                <w:rFonts w:ascii="仿宋" w:eastAsia="仿宋" w:hAnsi="仿宋"/>
                <w:color w:val="000000" w:themeColor="text1"/>
                <w:kern w:val="0"/>
                <w:szCs w:val="21"/>
              </w:rPr>
            </w:pPr>
          </w:p>
        </w:tc>
      </w:tr>
      <w:tr w:rsidR="00C757E6" w14:paraId="638C6CBD" w14:textId="77777777">
        <w:trPr>
          <w:trHeight w:val="2300"/>
          <w:jc w:val="center"/>
        </w:trPr>
        <w:tc>
          <w:tcPr>
            <w:tcW w:w="706" w:type="dxa"/>
            <w:vAlign w:val="center"/>
          </w:tcPr>
          <w:p w14:paraId="488B90FD"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7</w:t>
            </w:r>
          </w:p>
        </w:tc>
        <w:tc>
          <w:tcPr>
            <w:tcW w:w="1134" w:type="dxa"/>
            <w:vMerge/>
            <w:vAlign w:val="center"/>
          </w:tcPr>
          <w:p w14:paraId="2D4616D3"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74E6591E"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vAlign w:val="center"/>
          </w:tcPr>
          <w:p w14:paraId="43F5C424"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公开招标</w:t>
            </w:r>
          </w:p>
        </w:tc>
        <w:tc>
          <w:tcPr>
            <w:tcW w:w="1741" w:type="dxa"/>
            <w:vAlign w:val="center"/>
          </w:tcPr>
          <w:p w14:paraId="467276D0"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单项金额额度较大的补贴资金应按照地方财务规定标准以公开招标方式确定补贴对象</w:t>
            </w:r>
          </w:p>
        </w:tc>
        <w:tc>
          <w:tcPr>
            <w:tcW w:w="680" w:type="dxa"/>
            <w:vAlign w:val="center"/>
          </w:tcPr>
          <w:p w14:paraId="3044EC52" w14:textId="77777777" w:rsidR="00C757E6" w:rsidRDefault="00A358A5">
            <w:pPr>
              <w:widowControl/>
              <w:spacing w:line="400" w:lineRule="exact"/>
              <w:jc w:val="center"/>
              <w:rPr>
                <w:rFonts w:ascii="仿宋" w:eastAsia="仿宋" w:hAnsi="仿宋"/>
                <w:kern w:val="0"/>
                <w:szCs w:val="21"/>
              </w:rPr>
            </w:pPr>
            <w:r>
              <w:rPr>
                <w:rFonts w:ascii="仿宋" w:eastAsia="仿宋" w:hAnsi="仿宋" w:hint="eastAsia"/>
                <w:kern w:val="0"/>
                <w:szCs w:val="21"/>
              </w:rPr>
              <w:t>5</w:t>
            </w:r>
          </w:p>
        </w:tc>
        <w:tc>
          <w:tcPr>
            <w:tcW w:w="6566" w:type="dxa"/>
            <w:vAlign w:val="center"/>
          </w:tcPr>
          <w:p w14:paraId="5F2AC8B3"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补贴的市场化主体通过公开招标方式确定的，得5分，每存在一家未经招标的参与主体扣1分，扣完为止。</w:t>
            </w:r>
          </w:p>
        </w:tc>
        <w:tc>
          <w:tcPr>
            <w:tcW w:w="724" w:type="dxa"/>
            <w:vAlign w:val="center"/>
          </w:tcPr>
          <w:p w14:paraId="07625CBD" w14:textId="77777777" w:rsidR="00C757E6" w:rsidRDefault="00C757E6">
            <w:pPr>
              <w:widowControl/>
              <w:spacing w:line="400" w:lineRule="exact"/>
              <w:rPr>
                <w:rFonts w:ascii="仿宋" w:eastAsia="仿宋" w:hAnsi="仿宋"/>
                <w:color w:val="000000" w:themeColor="text1"/>
                <w:kern w:val="0"/>
                <w:szCs w:val="21"/>
              </w:rPr>
            </w:pPr>
          </w:p>
        </w:tc>
      </w:tr>
      <w:tr w:rsidR="00C757E6" w14:paraId="57489BD1" w14:textId="77777777">
        <w:trPr>
          <w:trHeight w:val="1176"/>
          <w:jc w:val="center"/>
        </w:trPr>
        <w:tc>
          <w:tcPr>
            <w:tcW w:w="706" w:type="dxa"/>
            <w:vAlign w:val="center"/>
          </w:tcPr>
          <w:p w14:paraId="1D3483B3"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8</w:t>
            </w:r>
          </w:p>
        </w:tc>
        <w:tc>
          <w:tcPr>
            <w:tcW w:w="1134" w:type="dxa"/>
            <w:vMerge/>
            <w:vAlign w:val="center"/>
          </w:tcPr>
          <w:p w14:paraId="02AD393B"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4A793FAF"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vAlign w:val="center"/>
          </w:tcPr>
          <w:p w14:paraId="288CFFB5"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合同管理</w:t>
            </w:r>
          </w:p>
        </w:tc>
        <w:tc>
          <w:tcPr>
            <w:tcW w:w="1741" w:type="dxa"/>
            <w:vAlign w:val="center"/>
          </w:tcPr>
          <w:p w14:paraId="443A9925"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政府部门与市场主体在推进项目实施过程中，签订协议，进行合同化管理</w:t>
            </w:r>
          </w:p>
        </w:tc>
        <w:tc>
          <w:tcPr>
            <w:tcW w:w="680" w:type="dxa"/>
            <w:vAlign w:val="center"/>
          </w:tcPr>
          <w:p w14:paraId="17120AD8" w14:textId="77777777" w:rsidR="00C757E6" w:rsidRDefault="00A358A5">
            <w:pPr>
              <w:widowControl/>
              <w:spacing w:line="400" w:lineRule="exact"/>
              <w:jc w:val="center"/>
              <w:rPr>
                <w:rFonts w:ascii="仿宋" w:eastAsia="仿宋" w:hAnsi="仿宋"/>
                <w:kern w:val="0"/>
                <w:szCs w:val="21"/>
              </w:rPr>
            </w:pPr>
            <w:r>
              <w:rPr>
                <w:rFonts w:ascii="仿宋" w:eastAsia="仿宋" w:hAnsi="仿宋" w:hint="eastAsia"/>
                <w:kern w:val="0"/>
                <w:szCs w:val="21"/>
              </w:rPr>
              <w:t>5</w:t>
            </w:r>
          </w:p>
        </w:tc>
        <w:tc>
          <w:tcPr>
            <w:tcW w:w="6566" w:type="dxa"/>
            <w:vAlign w:val="center"/>
          </w:tcPr>
          <w:p w14:paraId="2A36B140"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县级有关部门与实施主体均签订了协议合同的，得5分；每有一家未签订合同的，扣1分，扣完为止；均不签订，不得分。</w:t>
            </w:r>
          </w:p>
        </w:tc>
        <w:tc>
          <w:tcPr>
            <w:tcW w:w="724" w:type="dxa"/>
            <w:vAlign w:val="center"/>
          </w:tcPr>
          <w:p w14:paraId="0F3AA13F" w14:textId="77777777" w:rsidR="00C757E6" w:rsidRDefault="00C757E6">
            <w:pPr>
              <w:widowControl/>
              <w:spacing w:line="400" w:lineRule="exact"/>
              <w:rPr>
                <w:rFonts w:ascii="仿宋" w:eastAsia="仿宋" w:hAnsi="仿宋"/>
                <w:color w:val="000000" w:themeColor="text1"/>
                <w:kern w:val="0"/>
                <w:szCs w:val="21"/>
              </w:rPr>
            </w:pPr>
          </w:p>
        </w:tc>
      </w:tr>
      <w:tr w:rsidR="00C757E6" w14:paraId="0FF90688" w14:textId="77777777">
        <w:trPr>
          <w:trHeight w:val="1176"/>
          <w:jc w:val="center"/>
        </w:trPr>
        <w:tc>
          <w:tcPr>
            <w:tcW w:w="706" w:type="dxa"/>
            <w:vAlign w:val="center"/>
          </w:tcPr>
          <w:p w14:paraId="178E8808"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9</w:t>
            </w:r>
          </w:p>
        </w:tc>
        <w:tc>
          <w:tcPr>
            <w:tcW w:w="1134" w:type="dxa"/>
            <w:vMerge/>
            <w:vAlign w:val="center"/>
          </w:tcPr>
          <w:p w14:paraId="52054BFC"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3040DB6A"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vAlign w:val="center"/>
          </w:tcPr>
          <w:p w14:paraId="432E355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阳光公开</w:t>
            </w:r>
          </w:p>
        </w:tc>
        <w:tc>
          <w:tcPr>
            <w:tcW w:w="1741" w:type="dxa"/>
            <w:vAlign w:val="center"/>
          </w:tcPr>
          <w:p w14:paraId="5EC04D06"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补助资金</w:t>
            </w:r>
          </w:p>
          <w:p w14:paraId="1257CEE7"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向社会公开</w:t>
            </w:r>
          </w:p>
        </w:tc>
        <w:tc>
          <w:tcPr>
            <w:tcW w:w="680" w:type="dxa"/>
            <w:vAlign w:val="center"/>
          </w:tcPr>
          <w:p w14:paraId="4DA920B9" w14:textId="77777777" w:rsidR="00C757E6" w:rsidRDefault="00A358A5">
            <w:pPr>
              <w:widowControl/>
              <w:spacing w:line="400" w:lineRule="exact"/>
              <w:jc w:val="center"/>
              <w:rPr>
                <w:rFonts w:ascii="仿宋" w:eastAsia="仿宋" w:hAnsi="仿宋"/>
                <w:kern w:val="0"/>
                <w:szCs w:val="21"/>
              </w:rPr>
            </w:pPr>
            <w:r>
              <w:rPr>
                <w:rFonts w:ascii="仿宋" w:eastAsia="仿宋" w:hAnsi="仿宋" w:hint="eastAsia"/>
                <w:kern w:val="0"/>
                <w:szCs w:val="21"/>
              </w:rPr>
              <w:t>3</w:t>
            </w:r>
          </w:p>
        </w:tc>
        <w:tc>
          <w:tcPr>
            <w:tcW w:w="6566" w:type="dxa"/>
            <w:vAlign w:val="center"/>
          </w:tcPr>
          <w:p w14:paraId="6C594ADF"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项目县对中央财政资金补助对象及内容在县级政府门户网站或有关部门（或乡村）宣告栏公示的，得3分，未公示不得分。</w:t>
            </w:r>
          </w:p>
        </w:tc>
        <w:tc>
          <w:tcPr>
            <w:tcW w:w="724" w:type="dxa"/>
            <w:vAlign w:val="center"/>
          </w:tcPr>
          <w:p w14:paraId="389A3BE8" w14:textId="77777777" w:rsidR="00C757E6" w:rsidRDefault="00C757E6">
            <w:pPr>
              <w:widowControl/>
              <w:spacing w:line="400" w:lineRule="exact"/>
              <w:rPr>
                <w:rFonts w:ascii="仿宋" w:eastAsia="仿宋" w:hAnsi="仿宋"/>
                <w:color w:val="000000" w:themeColor="text1"/>
                <w:kern w:val="0"/>
                <w:szCs w:val="21"/>
              </w:rPr>
            </w:pPr>
          </w:p>
        </w:tc>
      </w:tr>
      <w:tr w:rsidR="00C757E6" w14:paraId="4DA5F948" w14:textId="77777777">
        <w:trPr>
          <w:trHeight w:val="831"/>
          <w:jc w:val="center"/>
        </w:trPr>
        <w:tc>
          <w:tcPr>
            <w:tcW w:w="706" w:type="dxa"/>
            <w:vAlign w:val="center"/>
          </w:tcPr>
          <w:p w14:paraId="5F7C3B50"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10</w:t>
            </w:r>
          </w:p>
        </w:tc>
        <w:tc>
          <w:tcPr>
            <w:tcW w:w="1134" w:type="dxa"/>
            <w:vMerge/>
            <w:vAlign w:val="center"/>
          </w:tcPr>
          <w:p w14:paraId="3BFC56D6"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5A9C235C"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vAlign w:val="center"/>
          </w:tcPr>
          <w:p w14:paraId="33057589"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资金</w:t>
            </w:r>
            <w:r>
              <w:rPr>
                <w:rFonts w:ascii="仿宋" w:eastAsia="仿宋" w:hAnsi="仿宋" w:hint="eastAsia"/>
                <w:color w:val="000000" w:themeColor="text1"/>
                <w:kern w:val="0"/>
                <w:szCs w:val="21"/>
              </w:rPr>
              <w:t>执行</w:t>
            </w:r>
          </w:p>
        </w:tc>
        <w:tc>
          <w:tcPr>
            <w:tcW w:w="1741" w:type="dxa"/>
            <w:vAlign w:val="center"/>
          </w:tcPr>
          <w:p w14:paraId="737ADEEF"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资金执行进度</w:t>
            </w:r>
          </w:p>
        </w:tc>
        <w:tc>
          <w:tcPr>
            <w:tcW w:w="680" w:type="dxa"/>
            <w:vAlign w:val="center"/>
          </w:tcPr>
          <w:p w14:paraId="4BC772AE" w14:textId="77777777" w:rsidR="00C757E6" w:rsidRDefault="00A358A5">
            <w:pPr>
              <w:widowControl/>
              <w:spacing w:line="400" w:lineRule="exact"/>
              <w:jc w:val="center"/>
              <w:rPr>
                <w:rFonts w:ascii="仿宋" w:eastAsia="仿宋" w:hAnsi="仿宋"/>
                <w:kern w:val="0"/>
                <w:szCs w:val="21"/>
              </w:rPr>
            </w:pPr>
            <w:r>
              <w:rPr>
                <w:rFonts w:ascii="仿宋" w:eastAsia="仿宋" w:hAnsi="仿宋" w:hint="eastAsia"/>
                <w:kern w:val="0"/>
                <w:szCs w:val="21"/>
              </w:rPr>
              <w:t>5</w:t>
            </w:r>
          </w:p>
        </w:tc>
        <w:tc>
          <w:tcPr>
            <w:tcW w:w="6566" w:type="dxa"/>
            <w:vAlign w:val="center"/>
          </w:tcPr>
          <w:p w14:paraId="3D8760CB" w14:textId="77777777" w:rsidR="00C757E6" w:rsidRDefault="00C757E6">
            <w:pPr>
              <w:widowControl/>
              <w:spacing w:line="320" w:lineRule="exact"/>
              <w:jc w:val="left"/>
              <w:rPr>
                <w:rFonts w:ascii="仿宋" w:eastAsia="仿宋" w:hAnsi="仿宋"/>
                <w:color w:val="000000" w:themeColor="text1"/>
                <w:kern w:val="0"/>
                <w:szCs w:val="21"/>
              </w:rPr>
            </w:pPr>
          </w:p>
          <w:p w14:paraId="0D990E96"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截至2021年4月30日，中央财政</w:t>
            </w:r>
            <w:r>
              <w:rPr>
                <w:rFonts w:ascii="仿宋" w:eastAsia="仿宋" w:hAnsi="仿宋"/>
                <w:color w:val="000000" w:themeColor="text1"/>
                <w:kern w:val="0"/>
                <w:szCs w:val="21"/>
              </w:rPr>
              <w:t>资金执行</w:t>
            </w:r>
            <w:r>
              <w:rPr>
                <w:rFonts w:ascii="仿宋" w:eastAsia="仿宋" w:hAnsi="仿宋" w:hint="eastAsia"/>
                <w:color w:val="000000" w:themeColor="text1"/>
                <w:kern w:val="0"/>
                <w:szCs w:val="21"/>
              </w:rPr>
              <w:t>进</w:t>
            </w:r>
            <w:r>
              <w:rPr>
                <w:rFonts w:ascii="仿宋" w:eastAsia="仿宋" w:hAnsi="仿宋"/>
                <w:color w:val="000000" w:themeColor="text1"/>
                <w:kern w:val="0"/>
                <w:szCs w:val="21"/>
              </w:rPr>
              <w:t>度达</w:t>
            </w:r>
            <w:r>
              <w:rPr>
                <w:rFonts w:ascii="仿宋" w:eastAsia="仿宋" w:hAnsi="仿宋" w:hint="eastAsia"/>
                <w:color w:val="000000" w:themeColor="text1"/>
                <w:kern w:val="0"/>
                <w:szCs w:val="21"/>
              </w:rPr>
              <w:t>100%的得5分，90%～99%的得4分，80%～89%的得3分，70%～79%的得2分，50%～70%得1分，低于50%，不得分。</w:t>
            </w:r>
          </w:p>
          <w:p w14:paraId="43D144DE" w14:textId="77777777" w:rsidR="00C757E6" w:rsidRDefault="00C757E6">
            <w:pPr>
              <w:widowControl/>
              <w:spacing w:line="320" w:lineRule="exact"/>
              <w:jc w:val="left"/>
              <w:rPr>
                <w:rFonts w:ascii="仿宋" w:eastAsia="仿宋" w:hAnsi="仿宋"/>
                <w:color w:val="000000" w:themeColor="text1"/>
                <w:kern w:val="0"/>
                <w:szCs w:val="21"/>
              </w:rPr>
            </w:pPr>
          </w:p>
        </w:tc>
        <w:tc>
          <w:tcPr>
            <w:tcW w:w="724" w:type="dxa"/>
            <w:vAlign w:val="center"/>
          </w:tcPr>
          <w:p w14:paraId="4E4BD137" w14:textId="77777777" w:rsidR="00C757E6" w:rsidRDefault="00C757E6">
            <w:pPr>
              <w:widowControl/>
              <w:spacing w:line="400" w:lineRule="exact"/>
              <w:rPr>
                <w:rFonts w:ascii="仿宋" w:eastAsia="仿宋" w:hAnsi="仿宋"/>
                <w:color w:val="000000" w:themeColor="text1"/>
                <w:kern w:val="0"/>
                <w:szCs w:val="21"/>
              </w:rPr>
            </w:pPr>
          </w:p>
        </w:tc>
      </w:tr>
      <w:tr w:rsidR="00C757E6" w14:paraId="6B7126D6" w14:textId="77777777">
        <w:trPr>
          <w:trHeight w:val="1063"/>
          <w:jc w:val="center"/>
        </w:trPr>
        <w:tc>
          <w:tcPr>
            <w:tcW w:w="706" w:type="dxa"/>
            <w:vAlign w:val="center"/>
          </w:tcPr>
          <w:p w14:paraId="735911E0"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11</w:t>
            </w:r>
          </w:p>
        </w:tc>
        <w:tc>
          <w:tcPr>
            <w:tcW w:w="1134" w:type="dxa"/>
            <w:vMerge/>
            <w:vAlign w:val="center"/>
          </w:tcPr>
          <w:p w14:paraId="3B0FAC98"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restart"/>
            <w:vAlign w:val="center"/>
          </w:tcPr>
          <w:p w14:paraId="635D248C"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项目执行</w:t>
            </w:r>
          </w:p>
        </w:tc>
        <w:tc>
          <w:tcPr>
            <w:tcW w:w="1149" w:type="dxa"/>
            <w:vMerge w:val="restart"/>
            <w:vAlign w:val="center"/>
          </w:tcPr>
          <w:p w14:paraId="07500D3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资金使用</w:t>
            </w:r>
          </w:p>
        </w:tc>
        <w:tc>
          <w:tcPr>
            <w:tcW w:w="1741" w:type="dxa"/>
            <w:vAlign w:val="center"/>
          </w:tcPr>
          <w:p w14:paraId="2516CDB8"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资金支出</w:t>
            </w:r>
          </w:p>
          <w:p w14:paraId="76DED92B"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符合相关规定</w:t>
            </w:r>
          </w:p>
        </w:tc>
        <w:tc>
          <w:tcPr>
            <w:tcW w:w="680" w:type="dxa"/>
            <w:vAlign w:val="center"/>
          </w:tcPr>
          <w:p w14:paraId="5E3E31D8"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5</w:t>
            </w:r>
          </w:p>
        </w:tc>
        <w:tc>
          <w:tcPr>
            <w:tcW w:w="6566" w:type="dxa"/>
            <w:vAlign w:val="center"/>
          </w:tcPr>
          <w:p w14:paraId="130B029D"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w:t>
            </w:r>
            <w:r>
              <w:rPr>
                <w:rFonts w:ascii="仿宋" w:eastAsia="仿宋" w:hAnsi="仿宋"/>
                <w:color w:val="000000" w:themeColor="text1"/>
                <w:kern w:val="0"/>
                <w:szCs w:val="21"/>
              </w:rPr>
              <w:t>县资金支出符合规定要求的，得</w:t>
            </w:r>
            <w:r>
              <w:rPr>
                <w:rFonts w:ascii="仿宋" w:eastAsia="仿宋" w:hAnsi="仿宋" w:hint="eastAsia"/>
                <w:color w:val="000000" w:themeColor="text1"/>
                <w:kern w:val="0"/>
                <w:szCs w:val="21"/>
              </w:rPr>
              <w:t>5分。存在虚列或套取、截留、挤占、挪用资金行为，或擅自改变、扩大资金支出范围，每发现一项违规行为扣1分，扣完为止。</w:t>
            </w:r>
          </w:p>
        </w:tc>
        <w:tc>
          <w:tcPr>
            <w:tcW w:w="724" w:type="dxa"/>
            <w:vAlign w:val="center"/>
          </w:tcPr>
          <w:p w14:paraId="286FFE07" w14:textId="77777777" w:rsidR="00C757E6" w:rsidRDefault="00C757E6">
            <w:pPr>
              <w:widowControl/>
              <w:spacing w:line="400" w:lineRule="exact"/>
              <w:rPr>
                <w:rFonts w:ascii="仿宋" w:eastAsia="仿宋" w:hAnsi="仿宋"/>
                <w:color w:val="000000" w:themeColor="text1"/>
                <w:kern w:val="0"/>
                <w:szCs w:val="21"/>
              </w:rPr>
            </w:pPr>
          </w:p>
        </w:tc>
      </w:tr>
      <w:tr w:rsidR="00C757E6" w14:paraId="77FCD580" w14:textId="77777777">
        <w:trPr>
          <w:trHeight w:val="837"/>
          <w:jc w:val="center"/>
        </w:trPr>
        <w:tc>
          <w:tcPr>
            <w:tcW w:w="706" w:type="dxa"/>
            <w:tcBorders>
              <w:bottom w:val="single" w:sz="4" w:space="0" w:color="auto"/>
            </w:tcBorders>
            <w:vAlign w:val="center"/>
          </w:tcPr>
          <w:p w14:paraId="6EEBC6D7"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 xml:space="preserve">12    </w:t>
            </w:r>
          </w:p>
        </w:tc>
        <w:tc>
          <w:tcPr>
            <w:tcW w:w="1134" w:type="dxa"/>
            <w:vMerge/>
            <w:vAlign w:val="center"/>
          </w:tcPr>
          <w:p w14:paraId="663823E8"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12C67A96"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vMerge/>
            <w:tcBorders>
              <w:bottom w:val="single" w:sz="4" w:space="0" w:color="auto"/>
            </w:tcBorders>
            <w:vAlign w:val="center"/>
          </w:tcPr>
          <w:p w14:paraId="63599745" w14:textId="77777777" w:rsidR="00C757E6" w:rsidRDefault="00C757E6">
            <w:pPr>
              <w:widowControl/>
              <w:spacing w:line="400" w:lineRule="exact"/>
              <w:jc w:val="center"/>
              <w:rPr>
                <w:rFonts w:ascii="仿宋" w:eastAsia="仿宋" w:hAnsi="仿宋"/>
                <w:color w:val="000000" w:themeColor="text1"/>
                <w:kern w:val="0"/>
                <w:szCs w:val="21"/>
              </w:rPr>
            </w:pPr>
          </w:p>
        </w:tc>
        <w:tc>
          <w:tcPr>
            <w:tcW w:w="1741" w:type="dxa"/>
            <w:tcBorders>
              <w:bottom w:val="single" w:sz="4" w:space="0" w:color="auto"/>
            </w:tcBorders>
            <w:vAlign w:val="center"/>
          </w:tcPr>
          <w:p w14:paraId="7F0D168B"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财务管理规范</w:t>
            </w:r>
          </w:p>
        </w:tc>
        <w:tc>
          <w:tcPr>
            <w:tcW w:w="680" w:type="dxa"/>
            <w:tcBorders>
              <w:bottom w:val="single" w:sz="4" w:space="0" w:color="auto"/>
            </w:tcBorders>
            <w:vAlign w:val="center"/>
          </w:tcPr>
          <w:p w14:paraId="3426C297"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5</w:t>
            </w:r>
          </w:p>
        </w:tc>
        <w:tc>
          <w:tcPr>
            <w:tcW w:w="6566" w:type="dxa"/>
            <w:tcBorders>
              <w:bottom w:val="single" w:sz="4" w:space="0" w:color="auto"/>
            </w:tcBorders>
            <w:vAlign w:val="center"/>
          </w:tcPr>
          <w:p w14:paraId="4E03EA81"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w:t>
            </w:r>
            <w:r>
              <w:rPr>
                <w:rFonts w:ascii="仿宋" w:eastAsia="仿宋" w:hAnsi="仿宋"/>
                <w:color w:val="000000" w:themeColor="text1"/>
                <w:kern w:val="0"/>
                <w:szCs w:val="21"/>
              </w:rPr>
              <w:t>县财务资料完整、会计核算规范，得</w:t>
            </w:r>
            <w:r>
              <w:rPr>
                <w:rFonts w:ascii="仿宋" w:eastAsia="仿宋" w:hAnsi="仿宋" w:hint="eastAsia"/>
                <w:color w:val="000000" w:themeColor="text1"/>
                <w:kern w:val="0"/>
                <w:szCs w:val="21"/>
              </w:rPr>
              <w:t>5分。每发现一个问题扣1分，扣完为止。</w:t>
            </w:r>
          </w:p>
        </w:tc>
        <w:tc>
          <w:tcPr>
            <w:tcW w:w="724" w:type="dxa"/>
            <w:vAlign w:val="center"/>
          </w:tcPr>
          <w:p w14:paraId="074833EE" w14:textId="77777777" w:rsidR="00C757E6" w:rsidRDefault="00C757E6">
            <w:pPr>
              <w:widowControl/>
              <w:spacing w:line="400" w:lineRule="exact"/>
              <w:rPr>
                <w:rFonts w:ascii="仿宋" w:eastAsia="仿宋" w:hAnsi="仿宋"/>
                <w:color w:val="000000" w:themeColor="text1"/>
                <w:kern w:val="0"/>
                <w:szCs w:val="21"/>
              </w:rPr>
            </w:pPr>
          </w:p>
        </w:tc>
      </w:tr>
      <w:tr w:rsidR="00C757E6" w14:paraId="13DB6827" w14:textId="77777777">
        <w:trPr>
          <w:trHeight w:val="1040"/>
          <w:jc w:val="center"/>
        </w:trPr>
        <w:tc>
          <w:tcPr>
            <w:tcW w:w="706" w:type="dxa"/>
            <w:tcBorders>
              <w:bottom w:val="single" w:sz="4" w:space="0" w:color="auto"/>
            </w:tcBorders>
            <w:vAlign w:val="center"/>
          </w:tcPr>
          <w:p w14:paraId="39977780"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13</w:t>
            </w:r>
          </w:p>
        </w:tc>
        <w:tc>
          <w:tcPr>
            <w:tcW w:w="1134" w:type="dxa"/>
            <w:vMerge/>
            <w:vAlign w:val="center"/>
          </w:tcPr>
          <w:p w14:paraId="02D047D7"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0B60AA85"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tcBorders>
              <w:bottom w:val="single" w:sz="4" w:space="0" w:color="auto"/>
            </w:tcBorders>
            <w:vAlign w:val="center"/>
          </w:tcPr>
          <w:p w14:paraId="167A78A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项目监督</w:t>
            </w:r>
          </w:p>
        </w:tc>
        <w:tc>
          <w:tcPr>
            <w:tcW w:w="1741" w:type="dxa"/>
            <w:tcBorders>
              <w:bottom w:val="single" w:sz="4" w:space="0" w:color="auto"/>
            </w:tcBorders>
            <w:vAlign w:val="center"/>
          </w:tcPr>
          <w:p w14:paraId="73726775"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对政策落实、项目推进、资金使用监督检查</w:t>
            </w:r>
          </w:p>
        </w:tc>
        <w:tc>
          <w:tcPr>
            <w:tcW w:w="680" w:type="dxa"/>
            <w:tcBorders>
              <w:bottom w:val="single" w:sz="4" w:space="0" w:color="auto"/>
            </w:tcBorders>
            <w:vAlign w:val="center"/>
          </w:tcPr>
          <w:p w14:paraId="06F7E03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2</w:t>
            </w:r>
          </w:p>
        </w:tc>
        <w:tc>
          <w:tcPr>
            <w:tcW w:w="6566" w:type="dxa"/>
            <w:tcBorders>
              <w:bottom w:val="single" w:sz="4" w:space="0" w:color="auto"/>
            </w:tcBorders>
            <w:vAlign w:val="center"/>
          </w:tcPr>
          <w:p w14:paraId="6E606A3A"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项目县至少开展2次政策落实、项目推进、资金使用等方面监督检查，每开展1次得1分，未开展不得分。</w:t>
            </w:r>
          </w:p>
        </w:tc>
        <w:tc>
          <w:tcPr>
            <w:tcW w:w="724" w:type="dxa"/>
            <w:vAlign w:val="center"/>
          </w:tcPr>
          <w:p w14:paraId="03D81648" w14:textId="77777777" w:rsidR="00C757E6" w:rsidRDefault="00C757E6">
            <w:pPr>
              <w:widowControl/>
              <w:spacing w:line="400" w:lineRule="exact"/>
              <w:rPr>
                <w:rFonts w:ascii="仿宋" w:eastAsia="仿宋" w:hAnsi="仿宋"/>
                <w:color w:val="000000" w:themeColor="text1"/>
                <w:kern w:val="0"/>
                <w:szCs w:val="21"/>
              </w:rPr>
            </w:pPr>
          </w:p>
        </w:tc>
      </w:tr>
      <w:tr w:rsidR="00C757E6" w14:paraId="61EC372B" w14:textId="77777777">
        <w:trPr>
          <w:trHeight w:val="1070"/>
          <w:jc w:val="center"/>
        </w:trPr>
        <w:tc>
          <w:tcPr>
            <w:tcW w:w="706" w:type="dxa"/>
            <w:tcBorders>
              <w:bottom w:val="single" w:sz="4" w:space="0" w:color="auto"/>
            </w:tcBorders>
            <w:vAlign w:val="center"/>
          </w:tcPr>
          <w:p w14:paraId="63376925"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14</w:t>
            </w:r>
          </w:p>
        </w:tc>
        <w:tc>
          <w:tcPr>
            <w:tcW w:w="1134" w:type="dxa"/>
            <w:vMerge/>
            <w:vAlign w:val="center"/>
          </w:tcPr>
          <w:p w14:paraId="5FC9AD7F"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5711C10B"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tcBorders>
              <w:bottom w:val="single" w:sz="4" w:space="0" w:color="auto"/>
            </w:tcBorders>
            <w:vAlign w:val="center"/>
          </w:tcPr>
          <w:p w14:paraId="5F27B004"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档案</w:t>
            </w:r>
            <w:r>
              <w:rPr>
                <w:rFonts w:ascii="仿宋" w:eastAsia="仿宋" w:hAnsi="仿宋"/>
                <w:color w:val="000000" w:themeColor="text1"/>
                <w:kern w:val="0"/>
                <w:szCs w:val="21"/>
              </w:rPr>
              <w:t>资料</w:t>
            </w:r>
          </w:p>
        </w:tc>
        <w:tc>
          <w:tcPr>
            <w:tcW w:w="1741" w:type="dxa"/>
            <w:tcBorders>
              <w:bottom w:val="single" w:sz="4" w:space="0" w:color="auto"/>
            </w:tcBorders>
            <w:vAlign w:val="center"/>
          </w:tcPr>
          <w:p w14:paraId="10986E4F"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项目管理工作档案以及相关文件资料齐全</w:t>
            </w:r>
          </w:p>
        </w:tc>
        <w:tc>
          <w:tcPr>
            <w:tcW w:w="680" w:type="dxa"/>
            <w:tcBorders>
              <w:bottom w:val="single" w:sz="4" w:space="0" w:color="auto"/>
            </w:tcBorders>
            <w:vAlign w:val="center"/>
          </w:tcPr>
          <w:p w14:paraId="42CC92E8"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3</w:t>
            </w:r>
          </w:p>
        </w:tc>
        <w:tc>
          <w:tcPr>
            <w:tcW w:w="6566" w:type="dxa"/>
            <w:tcBorders>
              <w:bottom w:val="single" w:sz="4" w:space="0" w:color="auto"/>
            </w:tcBorders>
            <w:vAlign w:val="center"/>
          </w:tcPr>
          <w:p w14:paraId="3D2CAFB0"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w:t>
            </w:r>
            <w:r>
              <w:rPr>
                <w:rFonts w:ascii="仿宋" w:eastAsia="仿宋" w:hAnsi="仿宋"/>
                <w:color w:val="000000" w:themeColor="text1"/>
                <w:kern w:val="0"/>
                <w:szCs w:val="21"/>
              </w:rPr>
              <w:t>档案</w:t>
            </w:r>
            <w:r>
              <w:rPr>
                <w:rFonts w:ascii="仿宋" w:eastAsia="仿宋" w:hAnsi="仿宋" w:hint="eastAsia"/>
                <w:color w:val="000000" w:themeColor="text1"/>
                <w:kern w:val="0"/>
                <w:szCs w:val="21"/>
              </w:rPr>
              <w:t>资料</w:t>
            </w:r>
            <w:r>
              <w:rPr>
                <w:rFonts w:ascii="仿宋" w:eastAsia="仿宋" w:hAnsi="仿宋"/>
                <w:color w:val="000000" w:themeColor="text1"/>
                <w:kern w:val="0"/>
                <w:szCs w:val="21"/>
              </w:rPr>
              <w:t>清晰易查，包括</w:t>
            </w:r>
            <w:r>
              <w:rPr>
                <w:rFonts w:ascii="仿宋" w:eastAsia="仿宋" w:hAnsi="仿宋" w:hint="eastAsia"/>
                <w:color w:val="000000" w:themeColor="text1"/>
                <w:kern w:val="0"/>
                <w:szCs w:val="21"/>
              </w:rPr>
              <w:t>实施</w:t>
            </w:r>
            <w:r>
              <w:rPr>
                <w:rFonts w:ascii="仿宋" w:eastAsia="仿宋" w:hAnsi="仿宋"/>
                <w:color w:val="000000" w:themeColor="text1"/>
                <w:kern w:val="0"/>
                <w:szCs w:val="21"/>
              </w:rPr>
              <w:t>方案</w:t>
            </w:r>
            <w:r>
              <w:rPr>
                <w:rFonts w:ascii="仿宋" w:eastAsia="仿宋" w:hAnsi="仿宋" w:hint="eastAsia"/>
                <w:color w:val="000000" w:themeColor="text1"/>
                <w:kern w:val="0"/>
                <w:szCs w:val="21"/>
              </w:rPr>
              <w:t>、确定实施主体、</w:t>
            </w:r>
            <w:r>
              <w:rPr>
                <w:rFonts w:ascii="仿宋" w:eastAsia="仿宋" w:hAnsi="仿宋"/>
                <w:color w:val="000000" w:themeColor="text1"/>
                <w:kern w:val="0"/>
                <w:szCs w:val="21"/>
              </w:rPr>
              <w:t>评审</w:t>
            </w:r>
            <w:r>
              <w:rPr>
                <w:rFonts w:ascii="仿宋" w:eastAsia="仿宋" w:hAnsi="仿宋" w:hint="eastAsia"/>
                <w:color w:val="000000" w:themeColor="text1"/>
                <w:kern w:val="0"/>
                <w:szCs w:val="21"/>
              </w:rPr>
              <w:t>材料</w:t>
            </w:r>
            <w:r>
              <w:rPr>
                <w:rFonts w:ascii="仿宋" w:eastAsia="仿宋" w:hAnsi="仿宋"/>
                <w:color w:val="000000" w:themeColor="text1"/>
                <w:kern w:val="0"/>
                <w:szCs w:val="21"/>
              </w:rPr>
              <w:t>、资金拨付、项目检查、总结等材料，得</w:t>
            </w:r>
            <w:r>
              <w:rPr>
                <w:rFonts w:ascii="仿宋" w:eastAsia="仿宋" w:hAnsi="仿宋" w:hint="eastAsia"/>
                <w:color w:val="000000" w:themeColor="text1"/>
                <w:kern w:val="0"/>
                <w:szCs w:val="21"/>
              </w:rPr>
              <w:t>3分，否则不得分。</w:t>
            </w:r>
          </w:p>
        </w:tc>
        <w:tc>
          <w:tcPr>
            <w:tcW w:w="724" w:type="dxa"/>
            <w:vAlign w:val="center"/>
          </w:tcPr>
          <w:p w14:paraId="765CD1DE" w14:textId="77777777" w:rsidR="00C757E6" w:rsidRDefault="00C757E6">
            <w:pPr>
              <w:widowControl/>
              <w:spacing w:line="400" w:lineRule="exact"/>
              <w:rPr>
                <w:rFonts w:ascii="仿宋" w:eastAsia="仿宋" w:hAnsi="仿宋"/>
                <w:color w:val="000000" w:themeColor="text1"/>
                <w:kern w:val="0"/>
                <w:szCs w:val="21"/>
              </w:rPr>
            </w:pPr>
          </w:p>
        </w:tc>
      </w:tr>
      <w:tr w:rsidR="00C757E6" w14:paraId="709C7D57" w14:textId="77777777">
        <w:trPr>
          <w:trHeight w:val="945"/>
          <w:jc w:val="center"/>
        </w:trPr>
        <w:tc>
          <w:tcPr>
            <w:tcW w:w="706" w:type="dxa"/>
            <w:tcBorders>
              <w:bottom w:val="single" w:sz="4" w:space="0" w:color="auto"/>
            </w:tcBorders>
            <w:vAlign w:val="center"/>
          </w:tcPr>
          <w:p w14:paraId="3E0D60D6"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15</w:t>
            </w:r>
          </w:p>
        </w:tc>
        <w:tc>
          <w:tcPr>
            <w:tcW w:w="1134" w:type="dxa"/>
            <w:vMerge/>
            <w:tcBorders>
              <w:bottom w:val="single" w:sz="4" w:space="0" w:color="auto"/>
            </w:tcBorders>
            <w:vAlign w:val="center"/>
          </w:tcPr>
          <w:p w14:paraId="2248C105"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tcBorders>
              <w:bottom w:val="single" w:sz="4" w:space="0" w:color="auto"/>
            </w:tcBorders>
            <w:vAlign w:val="center"/>
          </w:tcPr>
          <w:p w14:paraId="5C219709"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tcBorders>
              <w:bottom w:val="single" w:sz="4" w:space="0" w:color="auto"/>
            </w:tcBorders>
            <w:vAlign w:val="center"/>
          </w:tcPr>
          <w:p w14:paraId="0FAC1348"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材料上报</w:t>
            </w:r>
          </w:p>
        </w:tc>
        <w:tc>
          <w:tcPr>
            <w:tcW w:w="1741" w:type="dxa"/>
            <w:tcBorders>
              <w:bottom w:val="single" w:sz="4" w:space="0" w:color="auto"/>
            </w:tcBorders>
            <w:vAlign w:val="center"/>
          </w:tcPr>
          <w:p w14:paraId="576C70EB"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有关材料报送</w:t>
            </w:r>
          </w:p>
        </w:tc>
        <w:tc>
          <w:tcPr>
            <w:tcW w:w="680" w:type="dxa"/>
            <w:tcBorders>
              <w:bottom w:val="single" w:sz="4" w:space="0" w:color="auto"/>
            </w:tcBorders>
            <w:vAlign w:val="center"/>
          </w:tcPr>
          <w:p w14:paraId="7634D750"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3</w:t>
            </w:r>
          </w:p>
        </w:tc>
        <w:tc>
          <w:tcPr>
            <w:tcW w:w="6566" w:type="dxa"/>
            <w:tcBorders>
              <w:bottom w:val="single" w:sz="4" w:space="0" w:color="auto"/>
            </w:tcBorders>
            <w:vAlign w:val="center"/>
          </w:tcPr>
          <w:p w14:paraId="64350023"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项目县按照有关要求，按时向省级提交秸秆</w:t>
            </w:r>
            <w:proofErr w:type="gramStart"/>
            <w:r>
              <w:rPr>
                <w:rFonts w:ascii="仿宋" w:eastAsia="仿宋" w:hAnsi="仿宋" w:hint="eastAsia"/>
                <w:color w:val="000000" w:themeColor="text1"/>
                <w:kern w:val="0"/>
                <w:szCs w:val="21"/>
              </w:rPr>
              <w:t>资源台</w:t>
            </w:r>
            <w:proofErr w:type="gramEnd"/>
            <w:r>
              <w:rPr>
                <w:rFonts w:ascii="仿宋" w:eastAsia="仿宋" w:hAnsi="仿宋" w:hint="eastAsia"/>
                <w:color w:val="000000" w:themeColor="text1"/>
                <w:kern w:val="0"/>
                <w:szCs w:val="21"/>
              </w:rPr>
              <w:t>账数据、项目进展情况、项目总结、县域秸秆综合利用模式材料、技术清单等有关材料，未及时上报不得分。</w:t>
            </w:r>
          </w:p>
        </w:tc>
        <w:tc>
          <w:tcPr>
            <w:tcW w:w="724" w:type="dxa"/>
            <w:vAlign w:val="center"/>
          </w:tcPr>
          <w:p w14:paraId="60532417" w14:textId="77777777" w:rsidR="00C757E6" w:rsidRDefault="00C757E6">
            <w:pPr>
              <w:widowControl/>
              <w:spacing w:line="400" w:lineRule="exact"/>
              <w:rPr>
                <w:rFonts w:ascii="仿宋" w:eastAsia="仿宋" w:hAnsi="仿宋"/>
                <w:color w:val="000000" w:themeColor="text1"/>
                <w:kern w:val="0"/>
                <w:szCs w:val="21"/>
              </w:rPr>
            </w:pPr>
          </w:p>
        </w:tc>
      </w:tr>
      <w:tr w:rsidR="00C757E6" w14:paraId="2A82ED79" w14:textId="77777777">
        <w:trPr>
          <w:trHeight w:val="1165"/>
          <w:jc w:val="center"/>
        </w:trPr>
        <w:tc>
          <w:tcPr>
            <w:tcW w:w="706" w:type="dxa"/>
            <w:vAlign w:val="center"/>
          </w:tcPr>
          <w:p w14:paraId="3E815D87"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16</w:t>
            </w:r>
          </w:p>
        </w:tc>
        <w:tc>
          <w:tcPr>
            <w:tcW w:w="1134" w:type="dxa"/>
            <w:vMerge w:val="restart"/>
            <w:vAlign w:val="center"/>
          </w:tcPr>
          <w:p w14:paraId="03EDE5AE" w14:textId="77777777" w:rsidR="00C757E6" w:rsidRDefault="00A358A5">
            <w:pPr>
              <w:spacing w:line="400" w:lineRule="exact"/>
              <w:rPr>
                <w:rFonts w:ascii="仿宋" w:eastAsia="仿宋" w:hAnsi="仿宋"/>
                <w:color w:val="000000" w:themeColor="text1"/>
                <w:kern w:val="0"/>
                <w:szCs w:val="21"/>
              </w:rPr>
            </w:pPr>
            <w:r>
              <w:rPr>
                <w:rFonts w:ascii="仿宋" w:eastAsia="仿宋" w:hAnsi="仿宋"/>
                <w:color w:val="000000" w:themeColor="text1"/>
                <w:kern w:val="0"/>
                <w:szCs w:val="21"/>
              </w:rPr>
              <w:t>实施效果（</w:t>
            </w:r>
            <w:r>
              <w:rPr>
                <w:rFonts w:ascii="仿宋" w:eastAsia="仿宋" w:hAnsi="仿宋" w:hint="eastAsia"/>
                <w:color w:val="000000" w:themeColor="text1"/>
                <w:kern w:val="0"/>
                <w:szCs w:val="21"/>
              </w:rPr>
              <w:t>45</w:t>
            </w:r>
            <w:r>
              <w:rPr>
                <w:rFonts w:ascii="仿宋" w:eastAsia="仿宋" w:hAnsi="仿宋"/>
                <w:color w:val="000000" w:themeColor="text1"/>
                <w:kern w:val="0"/>
                <w:szCs w:val="21"/>
              </w:rPr>
              <w:t>分）</w:t>
            </w:r>
          </w:p>
        </w:tc>
        <w:tc>
          <w:tcPr>
            <w:tcW w:w="1119" w:type="dxa"/>
            <w:vMerge w:val="restart"/>
            <w:vAlign w:val="center"/>
          </w:tcPr>
          <w:p w14:paraId="5890EB53" w14:textId="77777777" w:rsidR="00C757E6" w:rsidRDefault="00A358A5">
            <w:pPr>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项目产出</w:t>
            </w:r>
          </w:p>
        </w:tc>
        <w:tc>
          <w:tcPr>
            <w:tcW w:w="1149" w:type="dxa"/>
            <w:vMerge w:val="restart"/>
            <w:vAlign w:val="center"/>
          </w:tcPr>
          <w:p w14:paraId="4AA0A1F3" w14:textId="77777777" w:rsidR="00C757E6" w:rsidRDefault="00A358A5">
            <w:pPr>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产出数量</w:t>
            </w:r>
          </w:p>
        </w:tc>
        <w:tc>
          <w:tcPr>
            <w:tcW w:w="1741" w:type="dxa"/>
            <w:vAlign w:val="center"/>
          </w:tcPr>
          <w:p w14:paraId="0F71B61B"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秸秆综合利用率</w:t>
            </w:r>
            <w:r>
              <w:rPr>
                <w:rFonts w:ascii="仿宋" w:eastAsia="仿宋" w:hAnsi="仿宋" w:hint="eastAsia"/>
                <w:color w:val="000000" w:themeColor="text1"/>
                <w:kern w:val="0"/>
                <w:szCs w:val="21"/>
              </w:rPr>
              <w:t>有效提升</w:t>
            </w:r>
          </w:p>
        </w:tc>
        <w:tc>
          <w:tcPr>
            <w:tcW w:w="680" w:type="dxa"/>
            <w:vAlign w:val="center"/>
          </w:tcPr>
          <w:p w14:paraId="1863E095"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10</w:t>
            </w:r>
          </w:p>
        </w:tc>
        <w:tc>
          <w:tcPr>
            <w:tcW w:w="6566" w:type="dxa"/>
            <w:vAlign w:val="center"/>
          </w:tcPr>
          <w:p w14:paraId="4AAB8580" w14:textId="77777777" w:rsidR="00C757E6" w:rsidRDefault="00C757E6">
            <w:pPr>
              <w:widowControl/>
              <w:spacing w:line="320" w:lineRule="exact"/>
              <w:jc w:val="left"/>
              <w:rPr>
                <w:rFonts w:ascii="仿宋" w:eastAsia="仿宋" w:hAnsi="仿宋"/>
                <w:color w:val="000000" w:themeColor="text1"/>
                <w:kern w:val="0"/>
                <w:szCs w:val="21"/>
              </w:rPr>
            </w:pPr>
          </w:p>
          <w:p w14:paraId="312D6361"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w:t>
            </w:r>
            <w:r>
              <w:rPr>
                <w:rFonts w:ascii="仿宋" w:eastAsia="仿宋" w:hAnsi="仿宋"/>
                <w:color w:val="000000" w:themeColor="text1"/>
                <w:kern w:val="0"/>
                <w:szCs w:val="21"/>
              </w:rPr>
              <w:t>县秸秆综合利用率达到</w:t>
            </w:r>
            <w:r>
              <w:rPr>
                <w:rFonts w:ascii="仿宋" w:eastAsia="仿宋" w:hAnsi="仿宋" w:hint="eastAsia"/>
                <w:color w:val="000000" w:themeColor="text1"/>
                <w:kern w:val="0"/>
                <w:szCs w:val="21"/>
              </w:rPr>
              <w:t>90%以上或比上年提升5个百分点，得10分，否则不得分。</w:t>
            </w:r>
          </w:p>
          <w:p w14:paraId="354A5EF3" w14:textId="77777777" w:rsidR="00C757E6" w:rsidRDefault="00C757E6">
            <w:pPr>
              <w:widowControl/>
              <w:spacing w:line="320" w:lineRule="exact"/>
              <w:jc w:val="left"/>
              <w:rPr>
                <w:rFonts w:ascii="仿宋" w:eastAsia="仿宋" w:hAnsi="仿宋"/>
                <w:color w:val="000000" w:themeColor="text1"/>
                <w:kern w:val="0"/>
                <w:szCs w:val="21"/>
              </w:rPr>
            </w:pPr>
          </w:p>
        </w:tc>
        <w:tc>
          <w:tcPr>
            <w:tcW w:w="724" w:type="dxa"/>
            <w:vAlign w:val="center"/>
          </w:tcPr>
          <w:p w14:paraId="01295A89" w14:textId="77777777" w:rsidR="00C757E6" w:rsidRDefault="00C757E6">
            <w:pPr>
              <w:widowControl/>
              <w:spacing w:line="400" w:lineRule="exact"/>
              <w:rPr>
                <w:rFonts w:ascii="仿宋" w:eastAsia="仿宋" w:hAnsi="仿宋"/>
                <w:color w:val="000000" w:themeColor="text1"/>
                <w:kern w:val="0"/>
                <w:szCs w:val="21"/>
              </w:rPr>
            </w:pPr>
          </w:p>
        </w:tc>
      </w:tr>
      <w:tr w:rsidR="00C757E6" w14:paraId="4D243860" w14:textId="77777777">
        <w:trPr>
          <w:trHeight w:val="1085"/>
          <w:jc w:val="center"/>
        </w:trPr>
        <w:tc>
          <w:tcPr>
            <w:tcW w:w="706" w:type="dxa"/>
            <w:vAlign w:val="center"/>
          </w:tcPr>
          <w:p w14:paraId="7BDCFB2B"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17</w:t>
            </w:r>
          </w:p>
        </w:tc>
        <w:tc>
          <w:tcPr>
            <w:tcW w:w="1134" w:type="dxa"/>
            <w:vMerge/>
            <w:vAlign w:val="center"/>
          </w:tcPr>
          <w:p w14:paraId="679C9F83" w14:textId="77777777" w:rsidR="00C757E6" w:rsidRDefault="00C757E6">
            <w:pPr>
              <w:spacing w:line="400" w:lineRule="exact"/>
              <w:rPr>
                <w:rFonts w:ascii="仿宋" w:eastAsia="仿宋" w:hAnsi="仿宋"/>
                <w:color w:val="000000" w:themeColor="text1"/>
                <w:kern w:val="0"/>
                <w:szCs w:val="21"/>
              </w:rPr>
            </w:pPr>
          </w:p>
        </w:tc>
        <w:tc>
          <w:tcPr>
            <w:tcW w:w="1119" w:type="dxa"/>
            <w:vMerge/>
            <w:vAlign w:val="center"/>
          </w:tcPr>
          <w:p w14:paraId="7EA0429F" w14:textId="77777777" w:rsidR="00C757E6" w:rsidRDefault="00C757E6">
            <w:pPr>
              <w:spacing w:line="400" w:lineRule="exact"/>
              <w:jc w:val="center"/>
              <w:rPr>
                <w:rFonts w:ascii="仿宋" w:eastAsia="仿宋" w:hAnsi="仿宋"/>
                <w:color w:val="000000" w:themeColor="text1"/>
                <w:kern w:val="0"/>
                <w:szCs w:val="21"/>
              </w:rPr>
            </w:pPr>
          </w:p>
        </w:tc>
        <w:tc>
          <w:tcPr>
            <w:tcW w:w="1149" w:type="dxa"/>
            <w:vMerge/>
            <w:vAlign w:val="center"/>
          </w:tcPr>
          <w:p w14:paraId="6528CC63" w14:textId="77777777" w:rsidR="00C757E6" w:rsidRDefault="00C757E6">
            <w:pPr>
              <w:spacing w:line="400" w:lineRule="exact"/>
              <w:jc w:val="center"/>
              <w:rPr>
                <w:rFonts w:ascii="仿宋" w:eastAsia="仿宋" w:hAnsi="仿宋"/>
                <w:color w:val="000000" w:themeColor="text1"/>
                <w:kern w:val="0"/>
                <w:szCs w:val="21"/>
              </w:rPr>
            </w:pPr>
          </w:p>
        </w:tc>
        <w:tc>
          <w:tcPr>
            <w:tcW w:w="1741" w:type="dxa"/>
            <w:vAlign w:val="center"/>
          </w:tcPr>
          <w:p w14:paraId="6935F144"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建立有效的秸秆</w:t>
            </w:r>
            <w:proofErr w:type="gramStart"/>
            <w:r>
              <w:rPr>
                <w:rFonts w:ascii="仿宋" w:eastAsia="仿宋" w:hAnsi="仿宋" w:hint="eastAsia"/>
                <w:color w:val="000000" w:themeColor="text1"/>
                <w:kern w:val="0"/>
                <w:szCs w:val="21"/>
              </w:rPr>
              <w:t>资源台</w:t>
            </w:r>
            <w:proofErr w:type="gramEnd"/>
            <w:r>
              <w:rPr>
                <w:rFonts w:ascii="仿宋" w:eastAsia="仿宋" w:hAnsi="仿宋" w:hint="eastAsia"/>
                <w:color w:val="000000" w:themeColor="text1"/>
                <w:kern w:val="0"/>
                <w:szCs w:val="21"/>
              </w:rPr>
              <w:t>账</w:t>
            </w:r>
          </w:p>
        </w:tc>
        <w:tc>
          <w:tcPr>
            <w:tcW w:w="680" w:type="dxa"/>
            <w:vAlign w:val="center"/>
          </w:tcPr>
          <w:p w14:paraId="5575AED8"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5</w:t>
            </w:r>
          </w:p>
        </w:tc>
        <w:tc>
          <w:tcPr>
            <w:tcW w:w="6566" w:type="dxa"/>
            <w:vAlign w:val="center"/>
          </w:tcPr>
          <w:p w14:paraId="1EC178F3"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项目县按照有关要求，开展年度秸秆</w:t>
            </w:r>
            <w:proofErr w:type="gramStart"/>
            <w:r>
              <w:rPr>
                <w:rFonts w:ascii="仿宋" w:eastAsia="仿宋" w:hAnsi="仿宋" w:hint="eastAsia"/>
                <w:color w:val="000000" w:themeColor="text1"/>
                <w:kern w:val="0"/>
                <w:szCs w:val="21"/>
              </w:rPr>
              <w:t>资源台</w:t>
            </w:r>
            <w:proofErr w:type="gramEnd"/>
            <w:r>
              <w:rPr>
                <w:rFonts w:ascii="仿宋" w:eastAsia="仿宋" w:hAnsi="仿宋" w:hint="eastAsia"/>
                <w:color w:val="000000" w:themeColor="text1"/>
                <w:kern w:val="0"/>
                <w:szCs w:val="21"/>
              </w:rPr>
              <w:t>账建设，建立秸秆</w:t>
            </w:r>
            <w:proofErr w:type="gramStart"/>
            <w:r>
              <w:rPr>
                <w:rFonts w:ascii="仿宋" w:eastAsia="仿宋" w:hAnsi="仿宋" w:hint="eastAsia"/>
                <w:color w:val="000000" w:themeColor="text1"/>
                <w:kern w:val="0"/>
                <w:szCs w:val="21"/>
              </w:rPr>
              <w:t>资源台</w:t>
            </w:r>
            <w:proofErr w:type="gramEnd"/>
            <w:r>
              <w:rPr>
                <w:rFonts w:ascii="仿宋" w:eastAsia="仿宋" w:hAnsi="仿宋" w:hint="eastAsia"/>
                <w:color w:val="000000" w:themeColor="text1"/>
                <w:kern w:val="0"/>
                <w:szCs w:val="21"/>
              </w:rPr>
              <w:t>账报送机制，及时报送秸秆</w:t>
            </w:r>
            <w:proofErr w:type="gramStart"/>
            <w:r>
              <w:rPr>
                <w:rFonts w:ascii="仿宋" w:eastAsia="仿宋" w:hAnsi="仿宋" w:hint="eastAsia"/>
                <w:color w:val="000000" w:themeColor="text1"/>
                <w:kern w:val="0"/>
                <w:szCs w:val="21"/>
              </w:rPr>
              <w:t>资源台</w:t>
            </w:r>
            <w:proofErr w:type="gramEnd"/>
            <w:r>
              <w:rPr>
                <w:rFonts w:ascii="仿宋" w:eastAsia="仿宋" w:hAnsi="仿宋" w:hint="eastAsia"/>
                <w:color w:val="000000" w:themeColor="text1"/>
                <w:kern w:val="0"/>
                <w:szCs w:val="21"/>
              </w:rPr>
              <w:t>账数据，得5分，未</w:t>
            </w:r>
            <w:proofErr w:type="gramStart"/>
            <w:r>
              <w:rPr>
                <w:rFonts w:ascii="仿宋" w:eastAsia="仿宋" w:hAnsi="仿宋" w:hint="eastAsia"/>
                <w:color w:val="000000" w:themeColor="text1"/>
                <w:kern w:val="0"/>
                <w:szCs w:val="21"/>
              </w:rPr>
              <w:t>报送台账数据</w:t>
            </w:r>
            <w:proofErr w:type="gramEnd"/>
            <w:r>
              <w:rPr>
                <w:rFonts w:ascii="仿宋" w:eastAsia="仿宋" w:hAnsi="仿宋" w:hint="eastAsia"/>
                <w:color w:val="000000" w:themeColor="text1"/>
                <w:kern w:val="0"/>
                <w:szCs w:val="21"/>
              </w:rPr>
              <w:t>的，不得分。</w:t>
            </w:r>
          </w:p>
        </w:tc>
        <w:tc>
          <w:tcPr>
            <w:tcW w:w="724" w:type="dxa"/>
            <w:vAlign w:val="center"/>
          </w:tcPr>
          <w:p w14:paraId="7F49CC01" w14:textId="77777777" w:rsidR="00C757E6" w:rsidRDefault="00C757E6">
            <w:pPr>
              <w:widowControl/>
              <w:spacing w:line="400" w:lineRule="exact"/>
              <w:rPr>
                <w:rFonts w:ascii="仿宋" w:eastAsia="仿宋" w:hAnsi="仿宋"/>
                <w:color w:val="000000" w:themeColor="text1"/>
                <w:kern w:val="0"/>
                <w:szCs w:val="21"/>
              </w:rPr>
            </w:pPr>
          </w:p>
        </w:tc>
      </w:tr>
      <w:tr w:rsidR="00C757E6" w14:paraId="1A1B56E8" w14:textId="77777777">
        <w:trPr>
          <w:trHeight w:val="637"/>
          <w:jc w:val="center"/>
        </w:trPr>
        <w:tc>
          <w:tcPr>
            <w:tcW w:w="706" w:type="dxa"/>
            <w:vAlign w:val="center"/>
          </w:tcPr>
          <w:p w14:paraId="01939804"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18</w:t>
            </w:r>
          </w:p>
        </w:tc>
        <w:tc>
          <w:tcPr>
            <w:tcW w:w="1134" w:type="dxa"/>
            <w:vMerge/>
            <w:vAlign w:val="center"/>
          </w:tcPr>
          <w:p w14:paraId="163B7C77"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restart"/>
            <w:vAlign w:val="center"/>
          </w:tcPr>
          <w:p w14:paraId="03229EC0" w14:textId="77777777" w:rsidR="00C757E6" w:rsidRDefault="00A358A5">
            <w:pPr>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项目效果</w:t>
            </w:r>
          </w:p>
        </w:tc>
        <w:tc>
          <w:tcPr>
            <w:tcW w:w="1149" w:type="dxa"/>
            <w:vMerge w:val="restart"/>
            <w:vAlign w:val="center"/>
          </w:tcPr>
          <w:p w14:paraId="6230EF99"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社会效益</w:t>
            </w:r>
          </w:p>
        </w:tc>
        <w:tc>
          <w:tcPr>
            <w:tcW w:w="1741" w:type="dxa"/>
            <w:vAlign w:val="center"/>
          </w:tcPr>
          <w:p w14:paraId="0A64997E"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政策创设</w:t>
            </w:r>
          </w:p>
        </w:tc>
        <w:tc>
          <w:tcPr>
            <w:tcW w:w="680" w:type="dxa"/>
            <w:vAlign w:val="center"/>
          </w:tcPr>
          <w:p w14:paraId="50611B7D"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3</w:t>
            </w:r>
          </w:p>
        </w:tc>
        <w:tc>
          <w:tcPr>
            <w:tcW w:w="6566" w:type="dxa"/>
            <w:vAlign w:val="center"/>
          </w:tcPr>
          <w:p w14:paraId="38686466"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w:t>
            </w:r>
            <w:r>
              <w:rPr>
                <w:rFonts w:ascii="仿宋" w:eastAsia="仿宋" w:hAnsi="仿宋"/>
                <w:color w:val="000000" w:themeColor="text1"/>
                <w:kern w:val="0"/>
                <w:szCs w:val="21"/>
              </w:rPr>
              <w:t>县</w:t>
            </w:r>
            <w:r>
              <w:rPr>
                <w:rFonts w:ascii="仿宋" w:eastAsia="仿宋" w:hAnsi="仿宋" w:hint="eastAsia"/>
                <w:color w:val="000000" w:themeColor="text1"/>
                <w:kern w:val="0"/>
                <w:szCs w:val="21"/>
              </w:rPr>
              <w:t>研究、制定、出台了与秸秆综合利用有关的优惠政策、措施，得3分。否则不得分。</w:t>
            </w:r>
          </w:p>
        </w:tc>
        <w:tc>
          <w:tcPr>
            <w:tcW w:w="724" w:type="dxa"/>
            <w:vAlign w:val="center"/>
          </w:tcPr>
          <w:p w14:paraId="17E07CAA" w14:textId="77777777" w:rsidR="00C757E6" w:rsidRDefault="00C757E6">
            <w:pPr>
              <w:widowControl/>
              <w:spacing w:line="400" w:lineRule="exact"/>
              <w:rPr>
                <w:rFonts w:ascii="仿宋" w:eastAsia="仿宋" w:hAnsi="仿宋"/>
                <w:color w:val="000000" w:themeColor="text1"/>
                <w:kern w:val="0"/>
                <w:szCs w:val="21"/>
              </w:rPr>
            </w:pPr>
          </w:p>
        </w:tc>
      </w:tr>
      <w:tr w:rsidR="00C757E6" w14:paraId="4DF9333C" w14:textId="77777777">
        <w:trPr>
          <w:trHeight w:val="742"/>
          <w:jc w:val="center"/>
        </w:trPr>
        <w:tc>
          <w:tcPr>
            <w:tcW w:w="706" w:type="dxa"/>
            <w:vAlign w:val="center"/>
          </w:tcPr>
          <w:p w14:paraId="25E1D142"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19</w:t>
            </w:r>
          </w:p>
        </w:tc>
        <w:tc>
          <w:tcPr>
            <w:tcW w:w="1134" w:type="dxa"/>
            <w:vMerge/>
            <w:vAlign w:val="center"/>
          </w:tcPr>
          <w:p w14:paraId="632595AF"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33EC4A12" w14:textId="77777777" w:rsidR="00C757E6" w:rsidRDefault="00C757E6">
            <w:pPr>
              <w:spacing w:line="400" w:lineRule="exact"/>
              <w:jc w:val="center"/>
              <w:rPr>
                <w:rFonts w:ascii="仿宋" w:eastAsia="仿宋" w:hAnsi="仿宋"/>
                <w:color w:val="000000" w:themeColor="text1"/>
                <w:kern w:val="0"/>
                <w:szCs w:val="21"/>
              </w:rPr>
            </w:pPr>
          </w:p>
        </w:tc>
        <w:tc>
          <w:tcPr>
            <w:tcW w:w="1149" w:type="dxa"/>
            <w:vMerge/>
            <w:vAlign w:val="center"/>
          </w:tcPr>
          <w:p w14:paraId="0AE252CF" w14:textId="77777777" w:rsidR="00C757E6" w:rsidRDefault="00C757E6">
            <w:pPr>
              <w:widowControl/>
              <w:spacing w:line="400" w:lineRule="exact"/>
              <w:jc w:val="center"/>
              <w:rPr>
                <w:rFonts w:ascii="仿宋" w:eastAsia="仿宋" w:hAnsi="仿宋"/>
                <w:color w:val="000000" w:themeColor="text1"/>
                <w:kern w:val="0"/>
                <w:szCs w:val="21"/>
              </w:rPr>
            </w:pPr>
          </w:p>
        </w:tc>
        <w:tc>
          <w:tcPr>
            <w:tcW w:w="1741" w:type="dxa"/>
            <w:vAlign w:val="center"/>
          </w:tcPr>
          <w:p w14:paraId="278F808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建立和完善秸秆综合利用体系</w:t>
            </w:r>
          </w:p>
        </w:tc>
        <w:tc>
          <w:tcPr>
            <w:tcW w:w="680" w:type="dxa"/>
            <w:vAlign w:val="center"/>
          </w:tcPr>
          <w:p w14:paraId="47419C45"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6</w:t>
            </w:r>
          </w:p>
        </w:tc>
        <w:tc>
          <w:tcPr>
            <w:tcW w:w="6566" w:type="dxa"/>
            <w:vAlign w:val="center"/>
          </w:tcPr>
          <w:p w14:paraId="3B14E0E1"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项目县支持建立秸秆还田、利用和收储运等社会化服务组织的，建立完善的收储运体系，</w:t>
            </w:r>
            <w:proofErr w:type="gramStart"/>
            <w:r>
              <w:rPr>
                <w:rFonts w:ascii="仿宋" w:eastAsia="仿宋" w:hAnsi="仿宋" w:hint="eastAsia"/>
                <w:color w:val="000000" w:themeColor="text1"/>
                <w:kern w:val="0"/>
                <w:szCs w:val="21"/>
              </w:rPr>
              <w:t>每支持</w:t>
            </w:r>
            <w:proofErr w:type="gramEnd"/>
            <w:r>
              <w:rPr>
                <w:rFonts w:ascii="仿宋" w:eastAsia="仿宋" w:hAnsi="仿宋" w:hint="eastAsia"/>
                <w:color w:val="000000" w:themeColor="text1"/>
                <w:kern w:val="0"/>
                <w:szCs w:val="21"/>
              </w:rPr>
              <w:t>一个得0.6分，满分6分。</w:t>
            </w:r>
          </w:p>
        </w:tc>
        <w:tc>
          <w:tcPr>
            <w:tcW w:w="724" w:type="dxa"/>
            <w:vAlign w:val="center"/>
          </w:tcPr>
          <w:p w14:paraId="2B03DB1A" w14:textId="77777777" w:rsidR="00C757E6" w:rsidRDefault="00C757E6">
            <w:pPr>
              <w:widowControl/>
              <w:spacing w:line="400" w:lineRule="exact"/>
              <w:rPr>
                <w:rFonts w:ascii="仿宋" w:eastAsia="仿宋" w:hAnsi="仿宋"/>
                <w:color w:val="000000" w:themeColor="text1"/>
                <w:kern w:val="0"/>
                <w:szCs w:val="21"/>
              </w:rPr>
            </w:pPr>
          </w:p>
        </w:tc>
      </w:tr>
      <w:tr w:rsidR="00C757E6" w14:paraId="5A4BA8F9" w14:textId="77777777">
        <w:trPr>
          <w:trHeight w:val="802"/>
          <w:jc w:val="center"/>
        </w:trPr>
        <w:tc>
          <w:tcPr>
            <w:tcW w:w="706" w:type="dxa"/>
            <w:vAlign w:val="center"/>
          </w:tcPr>
          <w:p w14:paraId="6C2F66E0"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21</w:t>
            </w:r>
          </w:p>
        </w:tc>
        <w:tc>
          <w:tcPr>
            <w:tcW w:w="1134" w:type="dxa"/>
            <w:vMerge/>
            <w:vAlign w:val="center"/>
          </w:tcPr>
          <w:p w14:paraId="718A96A8"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6CC2B1D3" w14:textId="77777777" w:rsidR="00C757E6" w:rsidRDefault="00C757E6">
            <w:pPr>
              <w:spacing w:line="400" w:lineRule="exact"/>
              <w:jc w:val="center"/>
              <w:rPr>
                <w:rFonts w:ascii="仿宋" w:eastAsia="仿宋" w:hAnsi="仿宋"/>
                <w:color w:val="000000" w:themeColor="text1"/>
                <w:kern w:val="0"/>
                <w:szCs w:val="21"/>
              </w:rPr>
            </w:pPr>
          </w:p>
        </w:tc>
        <w:tc>
          <w:tcPr>
            <w:tcW w:w="1149" w:type="dxa"/>
            <w:vMerge/>
            <w:vAlign w:val="center"/>
          </w:tcPr>
          <w:p w14:paraId="042CE32B" w14:textId="77777777" w:rsidR="00C757E6" w:rsidRDefault="00C757E6">
            <w:pPr>
              <w:widowControl/>
              <w:spacing w:line="400" w:lineRule="exact"/>
              <w:jc w:val="center"/>
              <w:rPr>
                <w:rFonts w:ascii="仿宋" w:eastAsia="仿宋" w:hAnsi="仿宋"/>
                <w:color w:val="000000" w:themeColor="text1"/>
                <w:kern w:val="0"/>
                <w:szCs w:val="21"/>
              </w:rPr>
            </w:pPr>
          </w:p>
        </w:tc>
        <w:tc>
          <w:tcPr>
            <w:tcW w:w="1741" w:type="dxa"/>
            <w:vAlign w:val="center"/>
          </w:tcPr>
          <w:p w14:paraId="4913914F"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提炼形成县域综合利用模式</w:t>
            </w:r>
            <w:r>
              <w:rPr>
                <w:rFonts w:ascii="仿宋" w:eastAsia="仿宋" w:hAnsi="仿宋" w:hint="eastAsia"/>
                <w:color w:val="000000" w:themeColor="text1"/>
                <w:kern w:val="0"/>
                <w:szCs w:val="21"/>
              </w:rPr>
              <w:t>、适合本县秸秆综合利用技术清单</w:t>
            </w:r>
          </w:p>
        </w:tc>
        <w:tc>
          <w:tcPr>
            <w:tcW w:w="680" w:type="dxa"/>
            <w:vAlign w:val="center"/>
          </w:tcPr>
          <w:p w14:paraId="0EBA4F6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6</w:t>
            </w:r>
          </w:p>
        </w:tc>
        <w:tc>
          <w:tcPr>
            <w:tcW w:w="6566" w:type="dxa"/>
            <w:vAlign w:val="center"/>
          </w:tcPr>
          <w:p w14:paraId="1C840140"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1.项目</w:t>
            </w:r>
            <w:proofErr w:type="gramStart"/>
            <w:r>
              <w:rPr>
                <w:rFonts w:ascii="仿宋" w:eastAsia="仿宋" w:hAnsi="仿宋"/>
                <w:color w:val="000000" w:themeColor="text1"/>
                <w:kern w:val="0"/>
                <w:szCs w:val="21"/>
              </w:rPr>
              <w:t>县</w:t>
            </w:r>
            <w:r>
              <w:rPr>
                <w:rFonts w:ascii="仿宋" w:eastAsia="仿宋" w:hAnsi="仿宋" w:hint="eastAsia"/>
                <w:color w:val="000000" w:themeColor="text1"/>
                <w:kern w:val="0"/>
                <w:szCs w:val="21"/>
              </w:rPr>
              <w:t>总结</w:t>
            </w:r>
            <w:proofErr w:type="gramEnd"/>
            <w:r>
              <w:rPr>
                <w:rFonts w:ascii="仿宋" w:eastAsia="仿宋" w:hAnsi="仿宋"/>
                <w:color w:val="000000" w:themeColor="text1"/>
                <w:kern w:val="0"/>
                <w:szCs w:val="21"/>
              </w:rPr>
              <w:t>提炼</w:t>
            </w:r>
            <w:r>
              <w:rPr>
                <w:rFonts w:ascii="仿宋" w:eastAsia="仿宋" w:hAnsi="仿宋" w:hint="eastAsia"/>
                <w:color w:val="000000" w:themeColor="text1"/>
                <w:kern w:val="0"/>
                <w:szCs w:val="21"/>
              </w:rPr>
              <w:t>一套</w:t>
            </w:r>
            <w:r>
              <w:rPr>
                <w:rFonts w:ascii="仿宋" w:eastAsia="仿宋" w:hAnsi="仿宋"/>
                <w:color w:val="000000" w:themeColor="text1"/>
                <w:kern w:val="0"/>
                <w:szCs w:val="21"/>
              </w:rPr>
              <w:t>可复制、可推广的县域秸秆综合利用模式的，得</w:t>
            </w:r>
            <w:r>
              <w:rPr>
                <w:rFonts w:ascii="仿宋" w:eastAsia="仿宋" w:hAnsi="仿宋" w:hint="eastAsia"/>
                <w:color w:val="000000" w:themeColor="text1"/>
                <w:kern w:val="0"/>
                <w:szCs w:val="21"/>
              </w:rPr>
              <w:t>4分。模式中包含技术体系、政策体系和工作体系三个方面，得2分。2.项目</w:t>
            </w:r>
            <w:proofErr w:type="gramStart"/>
            <w:r>
              <w:rPr>
                <w:rFonts w:ascii="仿宋" w:eastAsia="仿宋" w:hAnsi="仿宋" w:hint="eastAsia"/>
                <w:color w:val="000000" w:themeColor="text1"/>
                <w:kern w:val="0"/>
                <w:szCs w:val="21"/>
              </w:rPr>
              <w:t>县总结</w:t>
            </w:r>
            <w:proofErr w:type="gramEnd"/>
            <w:r>
              <w:rPr>
                <w:rFonts w:ascii="仿宋" w:eastAsia="仿宋" w:hAnsi="仿宋" w:hint="eastAsia"/>
                <w:color w:val="000000" w:themeColor="text1"/>
                <w:kern w:val="0"/>
                <w:szCs w:val="21"/>
              </w:rPr>
              <w:t>形成适合本县的秸秆综合利用技术清单，得2分。</w:t>
            </w:r>
          </w:p>
        </w:tc>
        <w:tc>
          <w:tcPr>
            <w:tcW w:w="724" w:type="dxa"/>
            <w:vAlign w:val="center"/>
          </w:tcPr>
          <w:p w14:paraId="0F30B2E5" w14:textId="77777777" w:rsidR="00C757E6" w:rsidRDefault="00C757E6">
            <w:pPr>
              <w:widowControl/>
              <w:spacing w:line="400" w:lineRule="exact"/>
              <w:rPr>
                <w:rFonts w:ascii="仿宋" w:eastAsia="仿宋" w:hAnsi="仿宋"/>
                <w:color w:val="000000" w:themeColor="text1"/>
                <w:kern w:val="0"/>
                <w:szCs w:val="21"/>
              </w:rPr>
            </w:pPr>
          </w:p>
        </w:tc>
      </w:tr>
      <w:tr w:rsidR="00C757E6" w14:paraId="7295EEF3" w14:textId="77777777">
        <w:trPr>
          <w:trHeight w:val="749"/>
          <w:jc w:val="center"/>
        </w:trPr>
        <w:tc>
          <w:tcPr>
            <w:tcW w:w="706" w:type="dxa"/>
            <w:vAlign w:val="center"/>
          </w:tcPr>
          <w:p w14:paraId="239E31A0"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22</w:t>
            </w:r>
          </w:p>
        </w:tc>
        <w:tc>
          <w:tcPr>
            <w:tcW w:w="1134" w:type="dxa"/>
            <w:vMerge/>
            <w:vAlign w:val="center"/>
          </w:tcPr>
          <w:p w14:paraId="06E28073"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3A666D88" w14:textId="77777777" w:rsidR="00C757E6" w:rsidRDefault="00C757E6">
            <w:pPr>
              <w:spacing w:line="400" w:lineRule="exact"/>
              <w:jc w:val="center"/>
              <w:rPr>
                <w:rFonts w:ascii="仿宋" w:eastAsia="仿宋" w:hAnsi="仿宋"/>
                <w:color w:val="000000" w:themeColor="text1"/>
                <w:kern w:val="0"/>
                <w:szCs w:val="21"/>
              </w:rPr>
            </w:pPr>
          </w:p>
        </w:tc>
        <w:tc>
          <w:tcPr>
            <w:tcW w:w="1149" w:type="dxa"/>
            <w:vMerge/>
            <w:vAlign w:val="center"/>
          </w:tcPr>
          <w:p w14:paraId="0684C543" w14:textId="77777777" w:rsidR="00C757E6" w:rsidRDefault="00C757E6">
            <w:pPr>
              <w:widowControl/>
              <w:spacing w:line="400" w:lineRule="exact"/>
              <w:jc w:val="center"/>
              <w:rPr>
                <w:rFonts w:ascii="仿宋" w:eastAsia="仿宋" w:hAnsi="仿宋"/>
                <w:color w:val="000000" w:themeColor="text1"/>
                <w:kern w:val="0"/>
                <w:szCs w:val="21"/>
              </w:rPr>
            </w:pPr>
          </w:p>
        </w:tc>
        <w:tc>
          <w:tcPr>
            <w:tcW w:w="1741" w:type="dxa"/>
            <w:vAlign w:val="center"/>
          </w:tcPr>
          <w:p w14:paraId="2E90606D"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宣传发动</w:t>
            </w:r>
          </w:p>
          <w:p w14:paraId="73CFFB34"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新闻</w:t>
            </w:r>
            <w:r>
              <w:rPr>
                <w:rFonts w:ascii="仿宋" w:eastAsia="仿宋" w:hAnsi="仿宋" w:hint="eastAsia"/>
                <w:color w:val="000000" w:themeColor="text1"/>
                <w:kern w:val="0"/>
                <w:szCs w:val="21"/>
              </w:rPr>
              <w:t>报道</w:t>
            </w:r>
          </w:p>
        </w:tc>
        <w:tc>
          <w:tcPr>
            <w:tcW w:w="680" w:type="dxa"/>
            <w:vAlign w:val="center"/>
          </w:tcPr>
          <w:p w14:paraId="0CE4F048"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5</w:t>
            </w:r>
          </w:p>
        </w:tc>
        <w:tc>
          <w:tcPr>
            <w:tcW w:w="6566" w:type="dxa"/>
            <w:vAlign w:val="center"/>
          </w:tcPr>
          <w:p w14:paraId="45E2AD55"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1.项目县积极开展秸秆综合利用和禁止露天焚烧宣传，成效明显得2分，宣传成效不明显或不开展，不得分。</w:t>
            </w:r>
          </w:p>
          <w:p w14:paraId="2420720B"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2.项目县秸秆综合利用重点县建设工作</w:t>
            </w:r>
            <w:r>
              <w:rPr>
                <w:rFonts w:ascii="仿宋" w:eastAsia="仿宋" w:hAnsi="仿宋"/>
                <w:color w:val="000000" w:themeColor="text1"/>
                <w:kern w:val="0"/>
                <w:szCs w:val="21"/>
              </w:rPr>
              <w:t>得到中央级</w:t>
            </w:r>
            <w:r>
              <w:rPr>
                <w:rFonts w:ascii="仿宋" w:eastAsia="仿宋" w:hAnsi="仿宋" w:hint="eastAsia"/>
                <w:color w:val="000000" w:themeColor="text1"/>
                <w:kern w:val="0"/>
                <w:szCs w:val="21"/>
              </w:rPr>
              <w:t>以及省级</w:t>
            </w:r>
            <w:r>
              <w:rPr>
                <w:rFonts w:ascii="仿宋" w:eastAsia="仿宋" w:hAnsi="仿宋"/>
                <w:color w:val="000000" w:themeColor="text1"/>
                <w:kern w:val="0"/>
                <w:szCs w:val="21"/>
              </w:rPr>
              <w:t>媒体宣传报导的，得</w:t>
            </w:r>
            <w:r>
              <w:rPr>
                <w:rFonts w:ascii="仿宋" w:eastAsia="仿宋" w:hAnsi="仿宋" w:hint="eastAsia"/>
                <w:color w:val="000000" w:themeColor="text1"/>
                <w:kern w:val="0"/>
                <w:szCs w:val="21"/>
              </w:rPr>
              <w:t>3分，得到市级媒体宣传报导的，得2分，县级媒体宣传报道的，得1分，未见新闻宣传报道不得分。</w:t>
            </w:r>
          </w:p>
        </w:tc>
        <w:tc>
          <w:tcPr>
            <w:tcW w:w="724" w:type="dxa"/>
            <w:vAlign w:val="center"/>
          </w:tcPr>
          <w:p w14:paraId="0BC3D383" w14:textId="77777777" w:rsidR="00C757E6" w:rsidRDefault="00C757E6">
            <w:pPr>
              <w:widowControl/>
              <w:spacing w:line="400" w:lineRule="exact"/>
              <w:rPr>
                <w:rFonts w:ascii="仿宋" w:eastAsia="仿宋" w:hAnsi="仿宋"/>
                <w:color w:val="000000" w:themeColor="text1"/>
                <w:kern w:val="0"/>
                <w:szCs w:val="21"/>
              </w:rPr>
            </w:pPr>
          </w:p>
        </w:tc>
      </w:tr>
      <w:tr w:rsidR="00C757E6" w14:paraId="22D68B75" w14:textId="77777777">
        <w:trPr>
          <w:trHeight w:val="1015"/>
          <w:jc w:val="center"/>
        </w:trPr>
        <w:tc>
          <w:tcPr>
            <w:tcW w:w="706" w:type="dxa"/>
            <w:vAlign w:val="center"/>
          </w:tcPr>
          <w:p w14:paraId="7CFCE07A"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23</w:t>
            </w:r>
          </w:p>
        </w:tc>
        <w:tc>
          <w:tcPr>
            <w:tcW w:w="1134" w:type="dxa"/>
            <w:vMerge/>
            <w:vAlign w:val="center"/>
          </w:tcPr>
          <w:p w14:paraId="0C3CA06F"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0CE37C66" w14:textId="77777777" w:rsidR="00C757E6" w:rsidRDefault="00C757E6">
            <w:pPr>
              <w:spacing w:line="400" w:lineRule="exact"/>
              <w:jc w:val="center"/>
              <w:rPr>
                <w:rFonts w:ascii="仿宋" w:eastAsia="仿宋" w:hAnsi="仿宋"/>
                <w:color w:val="000000" w:themeColor="text1"/>
                <w:kern w:val="0"/>
                <w:szCs w:val="21"/>
              </w:rPr>
            </w:pPr>
          </w:p>
        </w:tc>
        <w:tc>
          <w:tcPr>
            <w:tcW w:w="1149" w:type="dxa"/>
            <w:vAlign w:val="center"/>
          </w:tcPr>
          <w:p w14:paraId="0E27FFC4"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环境效益</w:t>
            </w:r>
          </w:p>
        </w:tc>
        <w:tc>
          <w:tcPr>
            <w:tcW w:w="1741" w:type="dxa"/>
            <w:vAlign w:val="center"/>
          </w:tcPr>
          <w:p w14:paraId="2F8BCA36"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因</w:t>
            </w:r>
            <w:r>
              <w:rPr>
                <w:rFonts w:ascii="仿宋" w:eastAsia="仿宋" w:hAnsi="仿宋"/>
                <w:color w:val="000000" w:themeColor="text1"/>
                <w:kern w:val="0"/>
                <w:szCs w:val="21"/>
              </w:rPr>
              <w:t>秸秆焚烧、废弃引起污染或</w:t>
            </w:r>
          </w:p>
          <w:p w14:paraId="20D94273"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交通安全事故</w:t>
            </w:r>
          </w:p>
        </w:tc>
        <w:tc>
          <w:tcPr>
            <w:tcW w:w="680" w:type="dxa"/>
            <w:vAlign w:val="center"/>
          </w:tcPr>
          <w:p w14:paraId="49D6FE88"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6</w:t>
            </w:r>
          </w:p>
        </w:tc>
        <w:tc>
          <w:tcPr>
            <w:tcW w:w="6566" w:type="dxa"/>
            <w:vAlign w:val="center"/>
          </w:tcPr>
          <w:p w14:paraId="57EF8F8E"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hint="eastAsia"/>
                <w:color w:val="000000" w:themeColor="text1"/>
                <w:kern w:val="0"/>
                <w:szCs w:val="21"/>
              </w:rPr>
              <w:t>项目</w:t>
            </w:r>
            <w:r>
              <w:rPr>
                <w:rFonts w:ascii="仿宋" w:eastAsia="仿宋" w:hAnsi="仿宋"/>
                <w:color w:val="000000" w:themeColor="text1"/>
                <w:kern w:val="0"/>
                <w:szCs w:val="21"/>
              </w:rPr>
              <w:t>县未发生大气、水体污染、交通安全事故或造成较大社会影响的，得</w:t>
            </w:r>
            <w:r>
              <w:rPr>
                <w:rFonts w:ascii="仿宋" w:eastAsia="仿宋" w:hAnsi="仿宋" w:hint="eastAsia"/>
                <w:color w:val="000000" w:themeColor="text1"/>
                <w:kern w:val="0"/>
                <w:szCs w:val="21"/>
              </w:rPr>
              <w:t>6分；每发生一起，扣2分，扣完为止。省级及以上环保督查被通报或省级及以上媒体曝光的重大环境影响问题，不得分。</w:t>
            </w:r>
          </w:p>
        </w:tc>
        <w:tc>
          <w:tcPr>
            <w:tcW w:w="724" w:type="dxa"/>
            <w:vAlign w:val="center"/>
          </w:tcPr>
          <w:p w14:paraId="1C6326DC" w14:textId="77777777" w:rsidR="00C757E6" w:rsidRDefault="00C757E6">
            <w:pPr>
              <w:widowControl/>
              <w:spacing w:line="400" w:lineRule="exact"/>
              <w:rPr>
                <w:rFonts w:ascii="仿宋" w:eastAsia="仿宋" w:hAnsi="仿宋"/>
                <w:color w:val="000000" w:themeColor="text1"/>
                <w:kern w:val="0"/>
                <w:szCs w:val="21"/>
              </w:rPr>
            </w:pPr>
          </w:p>
        </w:tc>
      </w:tr>
      <w:tr w:rsidR="00C757E6" w14:paraId="21BDB228" w14:textId="77777777">
        <w:trPr>
          <w:trHeight w:val="673"/>
          <w:jc w:val="center"/>
        </w:trPr>
        <w:tc>
          <w:tcPr>
            <w:tcW w:w="706" w:type="dxa"/>
            <w:vAlign w:val="center"/>
          </w:tcPr>
          <w:p w14:paraId="1BB0D090"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24</w:t>
            </w:r>
          </w:p>
        </w:tc>
        <w:tc>
          <w:tcPr>
            <w:tcW w:w="1134" w:type="dxa"/>
            <w:vMerge/>
            <w:vAlign w:val="center"/>
          </w:tcPr>
          <w:p w14:paraId="693DDB9B" w14:textId="77777777" w:rsidR="00C757E6" w:rsidRDefault="00C757E6">
            <w:pPr>
              <w:widowControl/>
              <w:spacing w:line="400" w:lineRule="exact"/>
              <w:rPr>
                <w:rFonts w:ascii="仿宋" w:eastAsia="仿宋" w:hAnsi="仿宋"/>
                <w:color w:val="000000" w:themeColor="text1"/>
                <w:kern w:val="0"/>
                <w:szCs w:val="21"/>
              </w:rPr>
            </w:pPr>
          </w:p>
        </w:tc>
        <w:tc>
          <w:tcPr>
            <w:tcW w:w="1119" w:type="dxa"/>
            <w:vMerge/>
            <w:vAlign w:val="center"/>
          </w:tcPr>
          <w:p w14:paraId="051ECB77" w14:textId="77777777" w:rsidR="00C757E6" w:rsidRDefault="00C757E6">
            <w:pPr>
              <w:widowControl/>
              <w:spacing w:line="400" w:lineRule="exact"/>
              <w:jc w:val="center"/>
              <w:rPr>
                <w:rFonts w:ascii="仿宋" w:eastAsia="仿宋" w:hAnsi="仿宋"/>
                <w:color w:val="000000" w:themeColor="text1"/>
                <w:kern w:val="0"/>
                <w:szCs w:val="21"/>
              </w:rPr>
            </w:pPr>
          </w:p>
        </w:tc>
        <w:tc>
          <w:tcPr>
            <w:tcW w:w="1149" w:type="dxa"/>
            <w:vAlign w:val="center"/>
          </w:tcPr>
          <w:p w14:paraId="097034E7"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服务对象满意度</w:t>
            </w:r>
          </w:p>
        </w:tc>
        <w:tc>
          <w:tcPr>
            <w:tcW w:w="1741" w:type="dxa"/>
            <w:vAlign w:val="center"/>
          </w:tcPr>
          <w:p w14:paraId="30AA3CE3"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所涉及</w:t>
            </w:r>
            <w:r>
              <w:rPr>
                <w:rFonts w:ascii="仿宋" w:eastAsia="仿宋" w:hAnsi="仿宋" w:hint="eastAsia"/>
                <w:color w:val="000000" w:themeColor="text1"/>
                <w:kern w:val="0"/>
                <w:szCs w:val="21"/>
              </w:rPr>
              <w:t>项目</w:t>
            </w:r>
          </w:p>
          <w:p w14:paraId="0DEEA86F"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主体满意度</w:t>
            </w:r>
          </w:p>
        </w:tc>
        <w:tc>
          <w:tcPr>
            <w:tcW w:w="680" w:type="dxa"/>
            <w:vAlign w:val="center"/>
          </w:tcPr>
          <w:p w14:paraId="17C0673E"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4</w:t>
            </w:r>
          </w:p>
        </w:tc>
        <w:tc>
          <w:tcPr>
            <w:tcW w:w="6566" w:type="dxa"/>
            <w:vAlign w:val="center"/>
          </w:tcPr>
          <w:p w14:paraId="4B4582D9"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color w:val="000000" w:themeColor="text1"/>
                <w:kern w:val="0"/>
                <w:szCs w:val="21"/>
              </w:rPr>
              <w:t>随机抽取</w:t>
            </w:r>
            <w:r>
              <w:rPr>
                <w:rFonts w:ascii="仿宋" w:eastAsia="仿宋" w:hAnsi="仿宋" w:hint="eastAsia"/>
                <w:color w:val="000000" w:themeColor="text1"/>
                <w:kern w:val="0"/>
                <w:szCs w:val="21"/>
              </w:rPr>
              <w:t>20户农户，满意度达到90%（含）以上，得4分；每降低5%，扣1分，扣完为止。</w:t>
            </w:r>
          </w:p>
        </w:tc>
        <w:tc>
          <w:tcPr>
            <w:tcW w:w="724" w:type="dxa"/>
            <w:vAlign w:val="center"/>
          </w:tcPr>
          <w:p w14:paraId="44B9AA0E" w14:textId="77777777" w:rsidR="00C757E6" w:rsidRDefault="00C757E6">
            <w:pPr>
              <w:widowControl/>
              <w:spacing w:line="400" w:lineRule="exact"/>
              <w:rPr>
                <w:rFonts w:ascii="仿宋" w:eastAsia="仿宋" w:hAnsi="仿宋"/>
                <w:color w:val="000000" w:themeColor="text1"/>
                <w:kern w:val="0"/>
                <w:szCs w:val="21"/>
              </w:rPr>
            </w:pPr>
          </w:p>
        </w:tc>
      </w:tr>
      <w:tr w:rsidR="00C757E6" w14:paraId="5191EF5C" w14:textId="77777777">
        <w:trPr>
          <w:trHeight w:val="700"/>
          <w:jc w:val="center"/>
        </w:trPr>
        <w:tc>
          <w:tcPr>
            <w:tcW w:w="706" w:type="dxa"/>
            <w:vAlign w:val="center"/>
          </w:tcPr>
          <w:p w14:paraId="05685E8F"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25</w:t>
            </w:r>
          </w:p>
        </w:tc>
        <w:tc>
          <w:tcPr>
            <w:tcW w:w="1134" w:type="dxa"/>
            <w:vAlign w:val="center"/>
          </w:tcPr>
          <w:p w14:paraId="10004601"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扣分项</w:t>
            </w:r>
          </w:p>
        </w:tc>
        <w:tc>
          <w:tcPr>
            <w:tcW w:w="2268" w:type="dxa"/>
            <w:gridSpan w:val="2"/>
            <w:vAlign w:val="center"/>
          </w:tcPr>
          <w:p w14:paraId="758A54B9"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违规</w:t>
            </w:r>
            <w:r>
              <w:rPr>
                <w:rFonts w:ascii="仿宋" w:eastAsia="仿宋" w:hAnsi="仿宋"/>
                <w:color w:val="000000" w:themeColor="text1"/>
                <w:kern w:val="0"/>
                <w:szCs w:val="21"/>
              </w:rPr>
              <w:t>违纪违法行为</w:t>
            </w:r>
          </w:p>
        </w:tc>
        <w:tc>
          <w:tcPr>
            <w:tcW w:w="1741" w:type="dxa"/>
            <w:vAlign w:val="center"/>
          </w:tcPr>
          <w:p w14:paraId="56E13E88" w14:textId="77777777" w:rsidR="00C757E6" w:rsidRDefault="00A358A5">
            <w:pPr>
              <w:widowControl/>
              <w:spacing w:line="320" w:lineRule="exact"/>
              <w:jc w:val="center"/>
              <w:rPr>
                <w:rFonts w:ascii="仿宋" w:eastAsia="仿宋" w:hAnsi="仿宋"/>
                <w:color w:val="000000" w:themeColor="text1"/>
                <w:kern w:val="0"/>
                <w:szCs w:val="21"/>
              </w:rPr>
            </w:pPr>
            <w:r>
              <w:rPr>
                <w:rFonts w:ascii="仿宋" w:eastAsia="仿宋" w:hAnsi="仿宋"/>
                <w:color w:val="000000" w:themeColor="text1"/>
                <w:kern w:val="0"/>
                <w:szCs w:val="21"/>
              </w:rPr>
              <w:t>资金使用存在</w:t>
            </w:r>
            <w:r>
              <w:rPr>
                <w:rFonts w:ascii="仿宋" w:eastAsia="仿宋" w:hAnsi="仿宋" w:hint="eastAsia"/>
                <w:color w:val="000000" w:themeColor="text1"/>
                <w:kern w:val="0"/>
                <w:szCs w:val="21"/>
              </w:rPr>
              <w:t>违规</w:t>
            </w:r>
            <w:r>
              <w:rPr>
                <w:rFonts w:ascii="仿宋" w:eastAsia="仿宋" w:hAnsi="仿宋"/>
                <w:color w:val="000000" w:themeColor="text1"/>
                <w:kern w:val="0"/>
                <w:szCs w:val="21"/>
              </w:rPr>
              <w:t>违纪违法行为</w:t>
            </w:r>
          </w:p>
        </w:tc>
        <w:tc>
          <w:tcPr>
            <w:tcW w:w="680" w:type="dxa"/>
            <w:vAlign w:val="center"/>
          </w:tcPr>
          <w:p w14:paraId="1A28D507" w14:textId="77777777" w:rsidR="00C757E6" w:rsidRDefault="00A358A5">
            <w:pPr>
              <w:widowControl/>
              <w:spacing w:line="400" w:lineRule="exact"/>
              <w:jc w:val="center"/>
              <w:rPr>
                <w:rFonts w:ascii="仿宋" w:eastAsia="仿宋" w:hAnsi="仿宋"/>
                <w:color w:val="000000" w:themeColor="text1"/>
                <w:kern w:val="0"/>
                <w:szCs w:val="21"/>
              </w:rPr>
            </w:pPr>
            <w:r>
              <w:rPr>
                <w:rFonts w:ascii="仿宋" w:eastAsia="仿宋" w:hAnsi="仿宋" w:hint="eastAsia"/>
                <w:color w:val="000000" w:themeColor="text1"/>
                <w:kern w:val="0"/>
                <w:szCs w:val="21"/>
              </w:rPr>
              <w:t>-20</w:t>
            </w:r>
          </w:p>
        </w:tc>
        <w:tc>
          <w:tcPr>
            <w:tcW w:w="6566" w:type="dxa"/>
            <w:vAlign w:val="center"/>
          </w:tcPr>
          <w:p w14:paraId="2B813D6B" w14:textId="77777777" w:rsidR="00C757E6" w:rsidRDefault="00A358A5">
            <w:pPr>
              <w:widowControl/>
              <w:spacing w:line="320" w:lineRule="exact"/>
              <w:jc w:val="left"/>
              <w:rPr>
                <w:rFonts w:ascii="仿宋" w:eastAsia="仿宋" w:hAnsi="仿宋"/>
                <w:color w:val="000000" w:themeColor="text1"/>
                <w:kern w:val="0"/>
                <w:szCs w:val="21"/>
              </w:rPr>
            </w:pPr>
            <w:r>
              <w:rPr>
                <w:rFonts w:ascii="仿宋" w:eastAsia="仿宋" w:hAnsi="仿宋"/>
                <w:color w:val="000000" w:themeColor="text1"/>
                <w:kern w:val="0"/>
                <w:szCs w:val="21"/>
              </w:rPr>
              <w:t>经各级监察、审计、财政监督等机构查实在</w:t>
            </w:r>
            <w:r>
              <w:rPr>
                <w:rFonts w:ascii="仿宋" w:eastAsia="仿宋" w:hAnsi="仿宋" w:hint="eastAsia"/>
                <w:color w:val="000000" w:themeColor="text1"/>
                <w:kern w:val="0"/>
                <w:szCs w:val="21"/>
              </w:rPr>
              <w:t>中央财政</w:t>
            </w:r>
            <w:r>
              <w:rPr>
                <w:rFonts w:ascii="仿宋" w:eastAsia="仿宋" w:hAnsi="仿宋"/>
                <w:color w:val="000000" w:themeColor="text1"/>
                <w:kern w:val="0"/>
                <w:szCs w:val="21"/>
              </w:rPr>
              <w:t>资金使用方面存在</w:t>
            </w:r>
            <w:r>
              <w:rPr>
                <w:rFonts w:ascii="仿宋" w:eastAsia="仿宋" w:hAnsi="仿宋" w:hint="eastAsia"/>
                <w:color w:val="000000" w:themeColor="text1"/>
                <w:kern w:val="0"/>
                <w:szCs w:val="21"/>
              </w:rPr>
              <w:t>违规</w:t>
            </w:r>
            <w:r>
              <w:rPr>
                <w:rFonts w:ascii="仿宋" w:eastAsia="仿宋" w:hAnsi="仿宋"/>
                <w:color w:val="000000" w:themeColor="text1"/>
                <w:kern w:val="0"/>
                <w:szCs w:val="21"/>
              </w:rPr>
              <w:t>违纪违法行为</w:t>
            </w:r>
            <w:r>
              <w:rPr>
                <w:rFonts w:ascii="仿宋" w:eastAsia="仿宋" w:hAnsi="仿宋" w:hint="eastAsia"/>
                <w:color w:val="000000" w:themeColor="text1"/>
                <w:kern w:val="0"/>
                <w:szCs w:val="21"/>
              </w:rPr>
              <w:t>的</w:t>
            </w:r>
            <w:r>
              <w:rPr>
                <w:rFonts w:ascii="仿宋" w:eastAsia="仿宋" w:hAnsi="仿宋"/>
                <w:color w:val="000000" w:themeColor="text1"/>
                <w:kern w:val="0"/>
                <w:szCs w:val="21"/>
              </w:rPr>
              <w:t>，一次性扣</w:t>
            </w:r>
            <w:r>
              <w:rPr>
                <w:rFonts w:ascii="仿宋" w:eastAsia="仿宋" w:hAnsi="仿宋" w:hint="eastAsia"/>
                <w:color w:val="000000" w:themeColor="text1"/>
                <w:kern w:val="0"/>
                <w:szCs w:val="21"/>
              </w:rPr>
              <w:t>20分。</w:t>
            </w:r>
          </w:p>
        </w:tc>
        <w:tc>
          <w:tcPr>
            <w:tcW w:w="724" w:type="dxa"/>
            <w:vAlign w:val="center"/>
          </w:tcPr>
          <w:p w14:paraId="181DFD7A" w14:textId="77777777" w:rsidR="00C757E6" w:rsidRDefault="00C757E6">
            <w:pPr>
              <w:widowControl/>
              <w:spacing w:line="400" w:lineRule="exact"/>
              <w:rPr>
                <w:rFonts w:ascii="仿宋" w:eastAsia="仿宋" w:hAnsi="仿宋"/>
                <w:color w:val="000000" w:themeColor="text1"/>
                <w:kern w:val="0"/>
                <w:szCs w:val="21"/>
              </w:rPr>
            </w:pPr>
          </w:p>
        </w:tc>
      </w:tr>
      <w:tr w:rsidR="00C757E6" w14:paraId="346D6FAC" w14:textId="77777777">
        <w:trPr>
          <w:trHeight w:val="538"/>
          <w:jc w:val="center"/>
        </w:trPr>
        <w:tc>
          <w:tcPr>
            <w:tcW w:w="5849" w:type="dxa"/>
            <w:gridSpan w:val="5"/>
            <w:vAlign w:val="center"/>
          </w:tcPr>
          <w:p w14:paraId="6698858B" w14:textId="77777777" w:rsidR="00C757E6" w:rsidRDefault="00A358A5">
            <w:pPr>
              <w:widowControl/>
              <w:spacing w:line="400" w:lineRule="exact"/>
              <w:jc w:val="center"/>
              <w:rPr>
                <w:rFonts w:ascii="仿宋" w:eastAsia="仿宋" w:hAnsi="仿宋"/>
                <w:b/>
                <w:color w:val="000000" w:themeColor="text1"/>
                <w:kern w:val="0"/>
                <w:szCs w:val="21"/>
              </w:rPr>
            </w:pPr>
            <w:r>
              <w:rPr>
                <w:rFonts w:ascii="仿宋" w:eastAsia="仿宋" w:hAnsi="仿宋"/>
                <w:b/>
                <w:color w:val="000000" w:themeColor="text1"/>
                <w:kern w:val="0"/>
                <w:szCs w:val="21"/>
              </w:rPr>
              <w:t>合计</w:t>
            </w:r>
          </w:p>
        </w:tc>
        <w:tc>
          <w:tcPr>
            <w:tcW w:w="680" w:type="dxa"/>
            <w:vAlign w:val="center"/>
          </w:tcPr>
          <w:p w14:paraId="04481FA2" w14:textId="77777777" w:rsidR="00C757E6" w:rsidRDefault="00A358A5">
            <w:pPr>
              <w:widowControl/>
              <w:spacing w:line="400" w:lineRule="exact"/>
              <w:jc w:val="center"/>
              <w:rPr>
                <w:rFonts w:ascii="仿宋" w:eastAsia="仿宋" w:hAnsi="仿宋"/>
                <w:b/>
                <w:color w:val="000000" w:themeColor="text1"/>
                <w:kern w:val="0"/>
                <w:szCs w:val="21"/>
              </w:rPr>
            </w:pPr>
            <w:r>
              <w:rPr>
                <w:rFonts w:ascii="仿宋" w:eastAsia="仿宋" w:hAnsi="仿宋" w:hint="eastAsia"/>
                <w:b/>
                <w:color w:val="000000" w:themeColor="text1"/>
                <w:kern w:val="0"/>
                <w:szCs w:val="21"/>
              </w:rPr>
              <w:t>100</w:t>
            </w:r>
          </w:p>
        </w:tc>
        <w:tc>
          <w:tcPr>
            <w:tcW w:w="6566" w:type="dxa"/>
          </w:tcPr>
          <w:p w14:paraId="5DF2402C" w14:textId="77777777" w:rsidR="00C757E6" w:rsidRDefault="00C757E6">
            <w:pPr>
              <w:widowControl/>
              <w:spacing w:line="400" w:lineRule="exact"/>
              <w:rPr>
                <w:rFonts w:ascii="仿宋" w:eastAsia="仿宋" w:hAnsi="仿宋"/>
                <w:color w:val="000000" w:themeColor="text1"/>
                <w:kern w:val="0"/>
                <w:szCs w:val="21"/>
              </w:rPr>
            </w:pPr>
          </w:p>
        </w:tc>
        <w:tc>
          <w:tcPr>
            <w:tcW w:w="724" w:type="dxa"/>
            <w:vAlign w:val="center"/>
          </w:tcPr>
          <w:p w14:paraId="3194CC46" w14:textId="77777777" w:rsidR="00C757E6" w:rsidRDefault="00C757E6">
            <w:pPr>
              <w:widowControl/>
              <w:spacing w:line="400" w:lineRule="exact"/>
              <w:rPr>
                <w:rFonts w:ascii="仿宋" w:eastAsia="仿宋" w:hAnsi="仿宋"/>
                <w:color w:val="000000" w:themeColor="text1"/>
                <w:kern w:val="0"/>
                <w:szCs w:val="21"/>
              </w:rPr>
            </w:pPr>
          </w:p>
        </w:tc>
      </w:tr>
    </w:tbl>
    <w:p w14:paraId="6561F5F2" w14:textId="77777777" w:rsidR="00C757E6" w:rsidRDefault="00C757E6">
      <w:pPr>
        <w:rPr>
          <w:rFonts w:ascii="仿宋" w:eastAsia="仿宋" w:hAnsi="仿宋" w:cs="仿宋"/>
          <w:sz w:val="32"/>
          <w:szCs w:val="32"/>
        </w:rPr>
      </w:pPr>
    </w:p>
    <w:sectPr w:rsidR="00C757E6" w:rsidSect="00C757E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F37BDD" w14:textId="77777777" w:rsidR="00646003" w:rsidRDefault="00646003" w:rsidP="00C757E6">
      <w:r>
        <w:separator/>
      </w:r>
    </w:p>
  </w:endnote>
  <w:endnote w:type="continuationSeparator" w:id="0">
    <w:p w14:paraId="65309813" w14:textId="77777777" w:rsidR="00646003" w:rsidRDefault="00646003" w:rsidP="00C75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2AFF" w:usb1="4000ACFF"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楷体">
    <w:altName w:val="Arial Unicode MS"/>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24FBEA" w14:textId="77777777" w:rsidR="00C757E6" w:rsidRDefault="00C757E6">
    <w:pPr>
      <w:pStyle w:val="a3"/>
      <w:jc w:val="center"/>
      <w:rPr>
        <w:rFonts w:ascii="Times New Roman" w:hAnsi="Times New Roman" w:cs="Times New Roman"/>
      </w:rPr>
    </w:pPr>
    <w:r>
      <w:rPr>
        <w:rFonts w:ascii="Times New Roman" w:hAnsi="Times New Roman" w:cs="Times New Roman"/>
      </w:rPr>
      <w:fldChar w:fldCharType="begin"/>
    </w:r>
    <w:r w:rsidR="00A358A5">
      <w:rPr>
        <w:rFonts w:ascii="Times New Roman" w:hAnsi="Times New Roman" w:cs="Times New Roman"/>
      </w:rPr>
      <w:instrText>PAGE   \* MERGEFORMAT</w:instrText>
    </w:r>
    <w:r>
      <w:rPr>
        <w:rFonts w:ascii="Times New Roman" w:hAnsi="Times New Roman" w:cs="Times New Roman"/>
      </w:rPr>
      <w:fldChar w:fldCharType="separate"/>
    </w:r>
    <w:r w:rsidR="008D634D" w:rsidRPr="008D634D">
      <w:rPr>
        <w:rFonts w:ascii="Times New Roman" w:hAnsi="Times New Roman" w:cs="Times New Roman"/>
        <w:noProof/>
        <w:lang w:val="zh-CN"/>
      </w:rPr>
      <w:t>13</w:t>
    </w:r>
    <w:r>
      <w:rPr>
        <w:rFonts w:ascii="Times New Roman" w:hAnsi="Times New Roman" w:cs="Times New Roman"/>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DFD788" w14:textId="77777777" w:rsidR="00646003" w:rsidRDefault="00646003" w:rsidP="00C757E6">
      <w:r>
        <w:separator/>
      </w:r>
    </w:p>
  </w:footnote>
  <w:footnote w:type="continuationSeparator" w:id="0">
    <w:p w14:paraId="5E776DD2" w14:textId="77777777" w:rsidR="00646003" w:rsidRDefault="00646003" w:rsidP="00C757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7E95AC2"/>
    <w:rsid w:val="001607E4"/>
    <w:rsid w:val="001F08BE"/>
    <w:rsid w:val="0060078F"/>
    <w:rsid w:val="00646003"/>
    <w:rsid w:val="007F6DFA"/>
    <w:rsid w:val="008D634D"/>
    <w:rsid w:val="009A27E0"/>
    <w:rsid w:val="00A358A5"/>
    <w:rsid w:val="00B62A07"/>
    <w:rsid w:val="00C728F3"/>
    <w:rsid w:val="00C757E6"/>
    <w:rsid w:val="00CA2186"/>
    <w:rsid w:val="00D21DC3"/>
    <w:rsid w:val="00F806AB"/>
    <w:rsid w:val="03F56424"/>
    <w:rsid w:val="050A675A"/>
    <w:rsid w:val="07D614E1"/>
    <w:rsid w:val="07E95AC2"/>
    <w:rsid w:val="0A502EDC"/>
    <w:rsid w:val="0BEC4C5B"/>
    <w:rsid w:val="0C596C3C"/>
    <w:rsid w:val="0D21530C"/>
    <w:rsid w:val="0DBC2539"/>
    <w:rsid w:val="0E7638DA"/>
    <w:rsid w:val="0ED42E8B"/>
    <w:rsid w:val="0F457526"/>
    <w:rsid w:val="11B02B90"/>
    <w:rsid w:val="142D25C2"/>
    <w:rsid w:val="14F664B7"/>
    <w:rsid w:val="153C65DC"/>
    <w:rsid w:val="15A0080F"/>
    <w:rsid w:val="165C2B0B"/>
    <w:rsid w:val="1A891673"/>
    <w:rsid w:val="1E0245B8"/>
    <w:rsid w:val="1E893F31"/>
    <w:rsid w:val="23000A72"/>
    <w:rsid w:val="236814EF"/>
    <w:rsid w:val="23BD2977"/>
    <w:rsid w:val="24732A76"/>
    <w:rsid w:val="254B30AD"/>
    <w:rsid w:val="26421797"/>
    <w:rsid w:val="267352E0"/>
    <w:rsid w:val="26A66E65"/>
    <w:rsid w:val="288D4916"/>
    <w:rsid w:val="29EB2804"/>
    <w:rsid w:val="2B086C2A"/>
    <w:rsid w:val="2B1638A9"/>
    <w:rsid w:val="2DAA41F9"/>
    <w:rsid w:val="2E096DC1"/>
    <w:rsid w:val="33B55388"/>
    <w:rsid w:val="34543090"/>
    <w:rsid w:val="35236894"/>
    <w:rsid w:val="35D72319"/>
    <w:rsid w:val="39B12C4B"/>
    <w:rsid w:val="3A1B2561"/>
    <w:rsid w:val="3A3B7360"/>
    <w:rsid w:val="3C7D33ED"/>
    <w:rsid w:val="3D475D46"/>
    <w:rsid w:val="3ED856FA"/>
    <w:rsid w:val="3F557E66"/>
    <w:rsid w:val="404011FF"/>
    <w:rsid w:val="411168FD"/>
    <w:rsid w:val="42750138"/>
    <w:rsid w:val="43EA32D8"/>
    <w:rsid w:val="4516185A"/>
    <w:rsid w:val="48C97029"/>
    <w:rsid w:val="49581316"/>
    <w:rsid w:val="49983F38"/>
    <w:rsid w:val="49B91205"/>
    <w:rsid w:val="4D667F30"/>
    <w:rsid w:val="4DD95775"/>
    <w:rsid w:val="4EF360A5"/>
    <w:rsid w:val="4F583360"/>
    <w:rsid w:val="50176523"/>
    <w:rsid w:val="503946FC"/>
    <w:rsid w:val="50BF2691"/>
    <w:rsid w:val="5186439F"/>
    <w:rsid w:val="524F5F09"/>
    <w:rsid w:val="59AF7855"/>
    <w:rsid w:val="5B2D07FD"/>
    <w:rsid w:val="5C344240"/>
    <w:rsid w:val="5CB71416"/>
    <w:rsid w:val="5E7739E8"/>
    <w:rsid w:val="5F762EA2"/>
    <w:rsid w:val="627B7BD0"/>
    <w:rsid w:val="62DF602B"/>
    <w:rsid w:val="63F21D7C"/>
    <w:rsid w:val="64A13BAE"/>
    <w:rsid w:val="65191F2C"/>
    <w:rsid w:val="67C12C47"/>
    <w:rsid w:val="68D61DD9"/>
    <w:rsid w:val="690F586D"/>
    <w:rsid w:val="6A172390"/>
    <w:rsid w:val="6A8F41DE"/>
    <w:rsid w:val="6AFA3A76"/>
    <w:rsid w:val="6BAF01EC"/>
    <w:rsid w:val="6C736A94"/>
    <w:rsid w:val="6DBB4597"/>
    <w:rsid w:val="6FF47EEC"/>
    <w:rsid w:val="70B52C3B"/>
    <w:rsid w:val="71560CC2"/>
    <w:rsid w:val="7291247A"/>
    <w:rsid w:val="72B63FAB"/>
    <w:rsid w:val="733C21A5"/>
    <w:rsid w:val="750C364A"/>
    <w:rsid w:val="766F7030"/>
    <w:rsid w:val="77AB13CF"/>
    <w:rsid w:val="79780CB8"/>
    <w:rsid w:val="7C22501D"/>
    <w:rsid w:val="7DFC4CAB"/>
    <w:rsid w:val="7FFB47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4511A5"/>
  <w15:docId w15:val="{A668BE1F-2A42-418A-8E03-2B403223E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57E6"/>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C757E6"/>
    <w:pPr>
      <w:tabs>
        <w:tab w:val="center" w:pos="4153"/>
        <w:tab w:val="right" w:pos="8306"/>
      </w:tabs>
      <w:snapToGrid w:val="0"/>
      <w:jc w:val="left"/>
    </w:pPr>
    <w:rPr>
      <w:sz w:val="18"/>
      <w:szCs w:val="18"/>
    </w:rPr>
  </w:style>
  <w:style w:type="paragraph" w:styleId="a4">
    <w:name w:val="header"/>
    <w:basedOn w:val="a"/>
    <w:link w:val="a5"/>
    <w:qFormat/>
    <w:rsid w:val="00C757E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qFormat/>
    <w:rsid w:val="00C757E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952</Words>
  <Characters>5427</Characters>
  <Application>Microsoft Office Word</Application>
  <DocSecurity>0</DocSecurity>
  <Lines>45</Lines>
  <Paragraphs>12</Paragraphs>
  <ScaleCrop>false</ScaleCrop>
  <Company>Sky123.Org</Company>
  <LinksUpToDate>false</LinksUpToDate>
  <CharactersWithSpaces>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cnszwh</dc:creator>
  <cp:lastModifiedBy>Admin</cp:lastModifiedBy>
  <cp:revision>2</cp:revision>
  <cp:lastPrinted>2020-03-03T02:32:00Z</cp:lastPrinted>
  <dcterms:created xsi:type="dcterms:W3CDTF">2020-12-28T07:27:00Z</dcterms:created>
  <dcterms:modified xsi:type="dcterms:W3CDTF">2020-12-28T07:27:00Z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