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DCF55C" w14:textId="77777777" w:rsidR="0095782A" w:rsidRDefault="0095782A">
      <w:pPr>
        <w:jc w:val="center"/>
        <w:rPr>
          <w:rFonts w:asciiTheme="majorEastAsia" w:eastAsiaTheme="majorEastAsia" w:hAnsiTheme="majorEastAsia" w:cstheme="majorEastAsia"/>
          <w:b/>
          <w:bCs/>
          <w:sz w:val="44"/>
          <w:szCs w:val="44"/>
        </w:rPr>
      </w:pPr>
    </w:p>
    <w:p w14:paraId="47BD9EA4" w14:textId="77777777" w:rsidR="0095782A" w:rsidRDefault="00231772">
      <w:pPr>
        <w:jc w:val="left"/>
        <w:rPr>
          <w:rFonts w:asciiTheme="majorEastAsia" w:eastAsiaTheme="majorEastAsia" w:hAnsiTheme="majorEastAsia" w:cstheme="majorEastAsia"/>
          <w:b/>
          <w:bCs/>
          <w:sz w:val="32"/>
          <w:szCs w:val="32"/>
        </w:rPr>
      </w:pPr>
      <w:r>
        <w:rPr>
          <w:rFonts w:asciiTheme="majorEastAsia" w:eastAsiaTheme="majorEastAsia" w:hAnsiTheme="majorEastAsia" w:cstheme="majorEastAsia" w:hint="eastAsia"/>
          <w:b/>
          <w:bCs/>
          <w:sz w:val="32"/>
          <w:szCs w:val="32"/>
        </w:rPr>
        <w:t>附件1</w:t>
      </w:r>
    </w:p>
    <w:p w14:paraId="507BD9B6" w14:textId="77777777" w:rsidR="0095782A" w:rsidRDefault="00231772">
      <w:pPr>
        <w:jc w:val="center"/>
        <w:rPr>
          <w:rFonts w:asciiTheme="majorEastAsia" w:eastAsiaTheme="majorEastAsia" w:hAnsiTheme="majorEastAsia" w:cstheme="majorEastAsia"/>
          <w:b/>
          <w:bCs/>
          <w:sz w:val="44"/>
          <w:szCs w:val="44"/>
        </w:rPr>
      </w:pPr>
      <w:r>
        <w:rPr>
          <w:rFonts w:asciiTheme="majorEastAsia" w:eastAsiaTheme="majorEastAsia" w:hAnsiTheme="majorEastAsia" w:cstheme="majorEastAsia" w:hint="eastAsia"/>
          <w:b/>
          <w:bCs/>
          <w:sz w:val="44"/>
          <w:szCs w:val="44"/>
        </w:rPr>
        <w:t>山西省2020年农作物秸秆综合利用</w:t>
      </w:r>
    </w:p>
    <w:p w14:paraId="3A5BF6AE" w14:textId="77777777" w:rsidR="0095782A" w:rsidRDefault="00231772">
      <w:pPr>
        <w:jc w:val="center"/>
        <w:rPr>
          <w:rFonts w:asciiTheme="majorEastAsia" w:eastAsiaTheme="majorEastAsia" w:hAnsiTheme="majorEastAsia" w:cstheme="majorEastAsia"/>
          <w:b/>
          <w:bCs/>
          <w:sz w:val="44"/>
          <w:szCs w:val="44"/>
        </w:rPr>
      </w:pPr>
      <w:r>
        <w:rPr>
          <w:rFonts w:asciiTheme="majorEastAsia" w:eastAsiaTheme="majorEastAsia" w:hAnsiTheme="majorEastAsia" w:cstheme="majorEastAsia" w:hint="eastAsia"/>
          <w:b/>
          <w:bCs/>
          <w:sz w:val="44"/>
          <w:szCs w:val="44"/>
        </w:rPr>
        <w:t>实施方案</w:t>
      </w:r>
    </w:p>
    <w:p w14:paraId="751349B3" w14:textId="77777777" w:rsidR="0095782A" w:rsidRDefault="0095782A">
      <w:pPr>
        <w:jc w:val="center"/>
      </w:pPr>
    </w:p>
    <w:p w14:paraId="7FFF45B8" w14:textId="77777777" w:rsidR="0095782A" w:rsidRDefault="0095782A">
      <w:pPr>
        <w:ind w:firstLineChars="200" w:firstLine="200"/>
        <w:jc w:val="left"/>
        <w:rPr>
          <w:rFonts w:ascii="仿宋" w:eastAsia="仿宋" w:hAnsi="仿宋" w:cs="仿宋"/>
          <w:sz w:val="10"/>
          <w:szCs w:val="10"/>
        </w:rPr>
      </w:pPr>
    </w:p>
    <w:p w14:paraId="7F22A10C" w14:textId="77777777" w:rsidR="0095782A" w:rsidRDefault="00231772">
      <w:pPr>
        <w:ind w:firstLineChars="200" w:firstLine="640"/>
        <w:jc w:val="left"/>
        <w:rPr>
          <w:rFonts w:ascii="仿宋" w:eastAsia="仿宋" w:hAnsi="仿宋" w:cs="仿宋"/>
          <w:sz w:val="32"/>
          <w:szCs w:val="32"/>
        </w:rPr>
      </w:pPr>
      <w:r>
        <w:rPr>
          <w:rFonts w:ascii="仿宋" w:eastAsia="仿宋" w:hAnsi="仿宋" w:cs="仿宋" w:hint="eastAsia"/>
          <w:sz w:val="32"/>
          <w:szCs w:val="32"/>
        </w:rPr>
        <w:t>为全面推进全省农作物秸秆综合利用，提升农作物秸秆综合利用水平，改善农村生态环境，促进农业绿色发展、高质量发展，根据农业农村部科技教育司《关于开展秸秆综合利用2019年度工作总结暨做好2020年度工作的函》要求，结合我省实际，制定本方案。</w:t>
      </w:r>
    </w:p>
    <w:p w14:paraId="6E893747" w14:textId="77777777" w:rsidR="0095782A" w:rsidRDefault="00231772">
      <w:pPr>
        <w:ind w:firstLineChars="200" w:firstLine="640"/>
        <w:jc w:val="left"/>
        <w:rPr>
          <w:rFonts w:ascii="黑体" w:eastAsia="黑体" w:hAnsi="黑体" w:cs="黑体"/>
          <w:sz w:val="32"/>
          <w:szCs w:val="32"/>
        </w:rPr>
      </w:pPr>
      <w:r>
        <w:rPr>
          <w:rFonts w:ascii="黑体" w:eastAsia="黑体" w:hAnsi="黑体" w:cs="黑体" w:hint="eastAsia"/>
          <w:sz w:val="32"/>
          <w:szCs w:val="32"/>
        </w:rPr>
        <w:t>一、总体思路</w:t>
      </w:r>
    </w:p>
    <w:p w14:paraId="211A8A9E" w14:textId="77777777" w:rsidR="0095782A" w:rsidRDefault="00231772">
      <w:pPr>
        <w:ind w:firstLineChars="200" w:firstLine="640"/>
        <w:jc w:val="left"/>
        <w:rPr>
          <w:rFonts w:ascii="仿宋" w:eastAsia="仿宋" w:hAnsi="仿宋" w:cs="仿宋"/>
          <w:sz w:val="32"/>
          <w:szCs w:val="32"/>
        </w:rPr>
      </w:pPr>
      <w:r>
        <w:rPr>
          <w:rFonts w:ascii="仿宋" w:eastAsia="仿宋" w:hAnsi="仿宋" w:cs="仿宋" w:hint="eastAsia"/>
          <w:sz w:val="32"/>
          <w:szCs w:val="32"/>
        </w:rPr>
        <w:t>以习近平新时代中国特色社会主义思想为指导，全面贯彻落实中央关于加强生态文明建设的战略部署和省人大常委会《关于促进农作物秸秆综合利用和禁止露天焚烧的决定》，以提高秸秆综合利用率为抓手，推动秸秆肥料化、饲料化、燃料化、基料化和原料化利用,加强试点示范，完善扶持政策，拓宽利用渠道，创新工作方法，</w:t>
      </w:r>
      <w:r>
        <w:rPr>
          <w:rFonts w:ascii="仿宋" w:eastAsia="仿宋" w:hAnsi="仿宋" w:cs="仿宋" w:hint="eastAsia"/>
          <w:sz w:val="32"/>
          <w:szCs w:val="32"/>
          <w:lang w:val="zh-CN"/>
        </w:rPr>
        <w:t>形成政府、企业与农民三方利益链接机制，</w:t>
      </w:r>
      <w:r>
        <w:rPr>
          <w:rFonts w:ascii="仿宋" w:eastAsia="仿宋" w:hAnsi="仿宋" w:cs="仿宋" w:hint="eastAsia"/>
          <w:sz w:val="32"/>
          <w:szCs w:val="32"/>
        </w:rPr>
        <w:t>推动形成布局合理、多元利用的产业化发展格局。 </w:t>
      </w:r>
    </w:p>
    <w:p w14:paraId="12449190" w14:textId="77777777" w:rsidR="0095782A" w:rsidRDefault="00231772">
      <w:pPr>
        <w:ind w:firstLineChars="200" w:firstLine="640"/>
        <w:jc w:val="left"/>
        <w:rPr>
          <w:rFonts w:ascii="黑体" w:eastAsia="黑体" w:hAnsi="黑体" w:cs="黑体"/>
          <w:sz w:val="32"/>
          <w:szCs w:val="32"/>
        </w:rPr>
      </w:pPr>
      <w:r>
        <w:rPr>
          <w:rFonts w:ascii="黑体" w:eastAsia="黑体" w:hAnsi="黑体" w:cs="黑体" w:hint="eastAsia"/>
          <w:sz w:val="32"/>
          <w:szCs w:val="32"/>
        </w:rPr>
        <w:t>二、工作目标</w:t>
      </w:r>
    </w:p>
    <w:p w14:paraId="6B9103B2" w14:textId="77777777" w:rsidR="0095782A" w:rsidRDefault="00231772">
      <w:pPr>
        <w:ind w:firstLineChars="200" w:firstLine="640"/>
        <w:jc w:val="left"/>
        <w:rPr>
          <w:rFonts w:ascii="仿宋" w:eastAsia="仿宋" w:hAnsi="仿宋" w:cs="仿宋"/>
          <w:sz w:val="32"/>
          <w:szCs w:val="32"/>
        </w:rPr>
      </w:pPr>
      <w:r>
        <w:rPr>
          <w:rFonts w:ascii="仿宋" w:eastAsia="仿宋" w:hAnsi="仿宋" w:cs="仿宋" w:hint="eastAsia"/>
          <w:sz w:val="32"/>
          <w:szCs w:val="32"/>
        </w:rPr>
        <w:t>建设9个秸秆综合利用重点县，重点县秸秆综合利用率达90%以上或比上年提升5个百分点，形成一批可复制、</w:t>
      </w:r>
      <w:r>
        <w:rPr>
          <w:rFonts w:ascii="仿宋" w:eastAsia="仿宋" w:hAnsi="仿宋" w:cs="仿宋" w:hint="eastAsia"/>
          <w:sz w:val="32"/>
          <w:szCs w:val="32"/>
        </w:rPr>
        <w:lastRenderedPageBreak/>
        <w:t>可推广的县域秸秆综合利用典型模式；进一步总结提炼适合我省应用的秸秆综合利用技术，建立全省秸秆综合利用主要技术清单；激发秸秆还田、收储运、离田加工利用等环节市场主体活力，健全完善秸秆收储运体系，全省秸秆综合利用率较上年稳步提升；加强农作物秸秆</w:t>
      </w:r>
      <w:proofErr w:type="gramStart"/>
      <w:r>
        <w:rPr>
          <w:rFonts w:ascii="仿宋" w:eastAsia="仿宋" w:hAnsi="仿宋" w:cs="仿宋" w:hint="eastAsia"/>
          <w:sz w:val="32"/>
          <w:szCs w:val="32"/>
        </w:rPr>
        <w:t>资源台</w:t>
      </w:r>
      <w:proofErr w:type="gramEnd"/>
      <w:r>
        <w:rPr>
          <w:rFonts w:ascii="仿宋" w:eastAsia="仿宋" w:hAnsi="仿宋" w:cs="仿宋" w:hint="eastAsia"/>
          <w:sz w:val="32"/>
          <w:szCs w:val="32"/>
        </w:rPr>
        <w:t>账建设，夯实秸秆综合利用科学决策基础。</w:t>
      </w:r>
    </w:p>
    <w:p w14:paraId="3547C152" w14:textId="77777777" w:rsidR="0095782A" w:rsidRDefault="00231772">
      <w:pPr>
        <w:ind w:firstLineChars="200" w:firstLine="640"/>
        <w:jc w:val="left"/>
        <w:rPr>
          <w:rFonts w:ascii="黑体" w:eastAsia="黑体" w:hAnsi="黑体" w:cs="黑体"/>
          <w:sz w:val="32"/>
          <w:szCs w:val="32"/>
        </w:rPr>
      </w:pPr>
      <w:r>
        <w:rPr>
          <w:rFonts w:ascii="黑体" w:eastAsia="黑体" w:hAnsi="黑体" w:cs="黑体" w:hint="eastAsia"/>
          <w:sz w:val="32"/>
          <w:szCs w:val="32"/>
        </w:rPr>
        <w:t>三、工作重点</w:t>
      </w:r>
    </w:p>
    <w:p w14:paraId="1CD031CB" w14:textId="77777777" w:rsidR="0095782A" w:rsidRDefault="00231772" w:rsidP="0095782A">
      <w:pPr>
        <w:ind w:firstLineChars="200" w:firstLine="643"/>
        <w:jc w:val="left"/>
        <w:rPr>
          <w:rFonts w:ascii="楷体" w:eastAsia="楷体" w:hAnsi="楷体" w:cs="楷体"/>
          <w:b/>
          <w:bCs/>
          <w:sz w:val="32"/>
          <w:szCs w:val="32"/>
        </w:rPr>
      </w:pPr>
      <w:r>
        <w:rPr>
          <w:rFonts w:ascii="楷体" w:eastAsia="楷体" w:hAnsi="楷体" w:cs="楷体" w:hint="eastAsia"/>
          <w:b/>
          <w:bCs/>
          <w:sz w:val="32"/>
          <w:szCs w:val="32"/>
        </w:rPr>
        <w:t>（一）编制年度实施方案</w:t>
      </w:r>
    </w:p>
    <w:p w14:paraId="7A130BC3" w14:textId="77777777" w:rsidR="0095782A" w:rsidRDefault="00231772">
      <w:pPr>
        <w:ind w:firstLineChars="200" w:firstLine="640"/>
        <w:jc w:val="left"/>
        <w:rPr>
          <w:rFonts w:ascii="仿宋" w:eastAsia="仿宋" w:hAnsi="仿宋" w:cs="仿宋"/>
          <w:sz w:val="32"/>
          <w:szCs w:val="32"/>
        </w:rPr>
      </w:pPr>
      <w:r>
        <w:rPr>
          <w:rFonts w:ascii="仿宋" w:eastAsia="仿宋" w:hAnsi="仿宋" w:cs="仿宋" w:hint="eastAsia"/>
          <w:sz w:val="32"/>
          <w:szCs w:val="32"/>
        </w:rPr>
        <w:t>各地根据2019年秸秆综合利用工作进展和区域实际，加强对本区域秸秆综合利用的规划研究，以基本实现全量化利用为目标，编制2020年度秸秆综合利用实施方案，细化实化目标任务、具体安排和责任分工，确保圆满完成年度工作任务。各市于3月31日前报送将市级实施方案,12月10日前报送市级工作总结及下年度工作计划。</w:t>
      </w:r>
    </w:p>
    <w:p w14:paraId="47B741EF" w14:textId="77777777" w:rsidR="0095782A" w:rsidRDefault="00231772" w:rsidP="0095782A">
      <w:pPr>
        <w:ind w:firstLineChars="200" w:firstLine="643"/>
        <w:jc w:val="left"/>
        <w:rPr>
          <w:rFonts w:ascii="楷体" w:eastAsia="楷体" w:hAnsi="楷体" w:cs="楷体"/>
          <w:b/>
          <w:bCs/>
          <w:sz w:val="32"/>
          <w:szCs w:val="32"/>
        </w:rPr>
      </w:pPr>
      <w:r>
        <w:rPr>
          <w:rFonts w:ascii="楷体" w:eastAsia="楷体" w:hAnsi="楷体" w:cs="楷体" w:hint="eastAsia"/>
          <w:b/>
          <w:bCs/>
          <w:sz w:val="32"/>
          <w:szCs w:val="32"/>
        </w:rPr>
        <w:t>（二）建设秸秆综合利用重点县</w:t>
      </w:r>
    </w:p>
    <w:p w14:paraId="5C693EAC" w14:textId="77777777" w:rsidR="0095782A" w:rsidRDefault="00231772">
      <w:pPr>
        <w:ind w:firstLineChars="200" w:firstLine="640"/>
        <w:jc w:val="left"/>
        <w:rPr>
          <w:rFonts w:ascii="仿宋" w:eastAsia="仿宋" w:hAnsi="仿宋" w:cs="仿宋"/>
          <w:sz w:val="32"/>
          <w:szCs w:val="32"/>
        </w:rPr>
      </w:pPr>
      <w:r>
        <w:rPr>
          <w:rFonts w:ascii="仿宋" w:eastAsia="仿宋" w:hAnsi="仿宋" w:cs="仿宋" w:hint="eastAsia"/>
          <w:sz w:val="32"/>
          <w:szCs w:val="32"/>
        </w:rPr>
        <w:t>遴选绛县、襄汾县、乡宁县、和顺县、阳高县、壶关县、神池县、代县、孝义市等9个县（市、区），作为国家秸秆综合利用重点县，整县推进秸秆综合利用试点，打造全省秸秆综合利用的“样板县”。各重点县要因地制宜确定秸秆利用方式，优化秸秆综合利用结构，切实做到技术措施有用、工作措施有效、管理措施有力、持续运行有保障，推动县域秸秆综合利用率达到90%以上或比上年提高5个百分点。各重点县要认真总结</w:t>
      </w:r>
      <w:proofErr w:type="gramStart"/>
      <w:r>
        <w:rPr>
          <w:rFonts w:ascii="仿宋" w:eastAsia="仿宋" w:hAnsi="仿宋" w:cs="仿宋" w:hint="eastAsia"/>
          <w:sz w:val="32"/>
          <w:szCs w:val="32"/>
        </w:rPr>
        <w:t>凝练政策</w:t>
      </w:r>
      <w:proofErr w:type="gramEnd"/>
      <w:r>
        <w:rPr>
          <w:rFonts w:ascii="仿宋" w:eastAsia="仿宋" w:hAnsi="仿宋" w:cs="仿宋" w:hint="eastAsia"/>
          <w:sz w:val="32"/>
          <w:szCs w:val="32"/>
        </w:rPr>
        <w:t>措施、工作措施、技术措施等方面的经验做法，形成1套配套政策强、工作力度大、技术支撑好、服务组织多的县域秸秆综合利用典型模式。各重点县12月10前报送重点县工作总结和县域典型模式材料。</w:t>
      </w:r>
    </w:p>
    <w:p w14:paraId="4C9625F3" w14:textId="77777777" w:rsidR="0095782A" w:rsidRDefault="00231772" w:rsidP="0095782A">
      <w:pPr>
        <w:ind w:firstLineChars="200" w:firstLine="643"/>
        <w:jc w:val="left"/>
        <w:rPr>
          <w:rFonts w:ascii="楷体" w:eastAsia="楷体" w:hAnsi="楷体" w:cs="楷体"/>
          <w:b/>
          <w:bCs/>
          <w:sz w:val="32"/>
          <w:szCs w:val="32"/>
        </w:rPr>
      </w:pPr>
      <w:r>
        <w:rPr>
          <w:rFonts w:ascii="楷体" w:eastAsia="楷体" w:hAnsi="楷体" w:cs="楷体" w:hint="eastAsia"/>
          <w:b/>
          <w:bCs/>
          <w:sz w:val="32"/>
          <w:szCs w:val="32"/>
        </w:rPr>
        <w:t>（三）持续推进秸秆综合利用</w:t>
      </w:r>
    </w:p>
    <w:p w14:paraId="373AB079" w14:textId="77777777" w:rsidR="0095782A" w:rsidRDefault="00231772" w:rsidP="0095782A">
      <w:pPr>
        <w:ind w:firstLineChars="200" w:firstLine="643"/>
        <w:jc w:val="left"/>
        <w:rPr>
          <w:rFonts w:ascii="仿宋" w:eastAsia="仿宋" w:hAnsi="仿宋" w:cs="仿宋"/>
          <w:sz w:val="32"/>
          <w:szCs w:val="32"/>
        </w:rPr>
      </w:pPr>
      <w:r>
        <w:rPr>
          <w:rFonts w:ascii="仿宋" w:eastAsia="仿宋" w:hAnsi="仿宋" w:cs="仿宋" w:hint="eastAsia"/>
          <w:b/>
          <w:bCs/>
          <w:sz w:val="32"/>
          <w:szCs w:val="32"/>
        </w:rPr>
        <w:t>一是推进秸秆肥料化利用。</w:t>
      </w:r>
      <w:r>
        <w:rPr>
          <w:rFonts w:ascii="仿宋" w:eastAsia="仿宋" w:hAnsi="仿宋" w:cs="仿宋" w:hint="eastAsia"/>
          <w:sz w:val="32"/>
          <w:szCs w:val="32"/>
        </w:rPr>
        <w:t>推动机械化秸秆直接还田，按照区域气候、种植特点及作物种类，采用秸秆粉碎旋耕还田、粉碎深翻还田、秸秆免（少）耕保护性耕作等，并结合深松整地、病虫害综合防治等农艺措施，提高直接还田水平和质量。在晋中、晋南相对高温多雨地区推广秸秆粉碎旋耕还田模式，在晋北干旱冷凉地区推广秸秆粉碎深翻还田模式，同时因地制宜推广秸秆覆盖还田、腐熟还田、堆沤还田技术。结合畜禽粪污处理和资源化利用行动,鼓励和支持大型畜禽场或有机肥生产企业购置秸秆处理和生产有机肥装备,建设秸秆有机肥生产线，扩大秸秆制作有机肥消纳量。</w:t>
      </w:r>
    </w:p>
    <w:p w14:paraId="6190D996" w14:textId="77777777" w:rsidR="0095782A" w:rsidRDefault="00231772" w:rsidP="0095782A">
      <w:pPr>
        <w:ind w:firstLineChars="200" w:firstLine="643"/>
        <w:jc w:val="left"/>
        <w:rPr>
          <w:rFonts w:ascii="仿宋" w:eastAsia="仿宋" w:hAnsi="仿宋" w:cs="仿宋"/>
          <w:sz w:val="32"/>
          <w:szCs w:val="32"/>
        </w:rPr>
      </w:pPr>
      <w:r>
        <w:rPr>
          <w:rFonts w:ascii="仿宋" w:eastAsia="仿宋" w:hAnsi="仿宋" w:cs="仿宋" w:hint="eastAsia"/>
          <w:b/>
          <w:bCs/>
          <w:sz w:val="32"/>
          <w:szCs w:val="32"/>
        </w:rPr>
        <w:t>二是推进秸秆饲料化利用。</w:t>
      </w:r>
      <w:r>
        <w:rPr>
          <w:rFonts w:ascii="仿宋" w:eastAsia="仿宋" w:hAnsi="仿宋" w:cs="仿宋" w:hint="eastAsia"/>
          <w:sz w:val="32"/>
          <w:szCs w:val="32"/>
        </w:rPr>
        <w:t>积极推进“粮改饲”，推广种植青贮玉米品种，推广秸秆青（黄）贮、压块、膨化、</w:t>
      </w:r>
      <w:proofErr w:type="gramStart"/>
      <w:r>
        <w:rPr>
          <w:rFonts w:ascii="仿宋" w:eastAsia="仿宋" w:hAnsi="仿宋" w:cs="仿宋" w:hint="eastAsia"/>
          <w:sz w:val="32"/>
          <w:szCs w:val="32"/>
        </w:rPr>
        <w:t>揉丝等</w:t>
      </w:r>
      <w:proofErr w:type="gramEnd"/>
      <w:r>
        <w:rPr>
          <w:rFonts w:ascii="仿宋" w:eastAsia="仿宋" w:hAnsi="仿宋" w:cs="仿宋" w:hint="eastAsia"/>
          <w:sz w:val="32"/>
          <w:szCs w:val="32"/>
        </w:rPr>
        <w:t>秸秆饲料技术，提升优质秸秆饲料供给能力，鼓励畜禽养殖场（户）、饲料加工企业利用秸秆生产优质饲料，不断扩大秸秆饲料化利用规模，促进草食畜牧业发展。</w:t>
      </w:r>
    </w:p>
    <w:p w14:paraId="0CF84236" w14:textId="77777777" w:rsidR="0095782A" w:rsidRDefault="00231772" w:rsidP="0095782A">
      <w:pPr>
        <w:ind w:firstLineChars="200" w:firstLine="643"/>
        <w:jc w:val="left"/>
        <w:rPr>
          <w:rFonts w:ascii="仿宋" w:eastAsia="仿宋" w:hAnsi="仿宋" w:cs="仿宋"/>
          <w:sz w:val="32"/>
          <w:szCs w:val="32"/>
        </w:rPr>
      </w:pPr>
      <w:r>
        <w:rPr>
          <w:rFonts w:ascii="仿宋" w:eastAsia="仿宋" w:hAnsi="仿宋" w:cs="仿宋" w:hint="eastAsia"/>
          <w:b/>
          <w:bCs/>
          <w:sz w:val="32"/>
          <w:szCs w:val="32"/>
        </w:rPr>
        <w:t>三是推进秸秆燃料化利用。</w:t>
      </w:r>
      <w:r>
        <w:rPr>
          <w:rFonts w:ascii="仿宋" w:eastAsia="仿宋" w:hAnsi="仿宋" w:cs="仿宋" w:hint="eastAsia"/>
          <w:sz w:val="32"/>
          <w:szCs w:val="32"/>
        </w:rPr>
        <w:t>抓住山西能源革命综合改革试点契机，围绕北方地区清洁取暖，在适宜地区推广秸秆“打捆直燃集中供暖”模式，</w:t>
      </w:r>
      <w:r>
        <w:rPr>
          <w:rFonts w:ascii="仿宋_GB2312" w:eastAsia="仿宋_GB2312" w:hAnsi="仿宋_GB2312" w:cs="仿宋_GB2312"/>
          <w:color w:val="0D0509"/>
          <w:sz w:val="32"/>
          <w:szCs w:val="32"/>
        </w:rPr>
        <w:t>引导</w:t>
      </w:r>
      <w:r>
        <w:rPr>
          <w:rFonts w:ascii="仿宋_GB2312" w:eastAsia="仿宋_GB2312" w:hAnsi="仿宋_GB2312" w:cs="仿宋_GB2312" w:hint="eastAsia"/>
          <w:color w:val="0D0509"/>
          <w:sz w:val="32"/>
          <w:szCs w:val="32"/>
        </w:rPr>
        <w:t>农村</w:t>
      </w:r>
      <w:r>
        <w:rPr>
          <w:rFonts w:ascii="仿宋_GB2312" w:eastAsia="仿宋_GB2312" w:hAnsi="仿宋_GB2312" w:cs="仿宋_GB2312"/>
          <w:color w:val="0D0509"/>
          <w:sz w:val="32"/>
          <w:szCs w:val="32"/>
        </w:rPr>
        <w:t>乡镇机关企事业单位、中小学校及洗浴、粮食烘干等经营场所燃煤锅炉改造，</w:t>
      </w:r>
      <w:r>
        <w:rPr>
          <w:rFonts w:ascii="仿宋" w:eastAsia="仿宋" w:hAnsi="仿宋" w:cs="仿宋" w:hint="eastAsia"/>
          <w:sz w:val="32"/>
          <w:szCs w:val="32"/>
        </w:rPr>
        <w:t>打造一批秸秆打捆直</w:t>
      </w:r>
      <w:proofErr w:type="gramStart"/>
      <w:r>
        <w:rPr>
          <w:rFonts w:ascii="仿宋" w:eastAsia="仿宋" w:hAnsi="仿宋" w:cs="仿宋" w:hint="eastAsia"/>
          <w:sz w:val="32"/>
          <w:szCs w:val="32"/>
        </w:rPr>
        <w:t>燃集中</w:t>
      </w:r>
      <w:proofErr w:type="gramEnd"/>
      <w:r>
        <w:rPr>
          <w:rFonts w:ascii="仿宋" w:eastAsia="仿宋" w:hAnsi="仿宋" w:cs="仿宋" w:hint="eastAsia"/>
          <w:sz w:val="32"/>
          <w:szCs w:val="32"/>
        </w:rPr>
        <w:t>供暖试点。积极扶持以秸秆为主要原料的秸秆天然气、沼气工程、生物质发电和秸秆固化成型燃料加工，推广秸秆生物质能清洁取暖炉具。</w:t>
      </w:r>
    </w:p>
    <w:p w14:paraId="2B10C89E" w14:textId="77777777" w:rsidR="0095782A" w:rsidRDefault="00231772" w:rsidP="0095782A">
      <w:pPr>
        <w:ind w:firstLineChars="200" w:firstLine="643"/>
        <w:jc w:val="left"/>
        <w:rPr>
          <w:rFonts w:ascii="仿宋" w:eastAsia="仿宋" w:hAnsi="仿宋" w:cs="仿宋"/>
          <w:sz w:val="32"/>
          <w:szCs w:val="32"/>
        </w:rPr>
      </w:pPr>
      <w:r>
        <w:rPr>
          <w:rFonts w:ascii="仿宋" w:eastAsia="仿宋" w:hAnsi="仿宋" w:cs="仿宋" w:hint="eastAsia"/>
          <w:b/>
          <w:bCs/>
          <w:sz w:val="32"/>
          <w:szCs w:val="32"/>
        </w:rPr>
        <w:t>四是推进秸秆基料化和原料化利用。</w:t>
      </w:r>
      <w:r>
        <w:rPr>
          <w:rFonts w:ascii="仿宋" w:eastAsia="仿宋" w:hAnsi="仿宋" w:cs="仿宋" w:hint="eastAsia"/>
          <w:sz w:val="32"/>
          <w:szCs w:val="32"/>
        </w:rPr>
        <w:t>支持引导企业、专业合作社、种植大户积极发展以玉米、小麦秸秆为主要原料的食用菌规模化生产，发展以秸秆为主要基料的育苗基质生产，扩大秸秆基料化利用规模。鼓励发展以秸秆为主要原料的造纸、新型建材、复合材料、降解膜、餐具等加工产业，延伸秸秆原料化利用产业链条，提高秸秆高值化、产业化利用水平。</w:t>
      </w:r>
    </w:p>
    <w:p w14:paraId="3DED1550" w14:textId="77777777" w:rsidR="0095782A" w:rsidRDefault="00231772" w:rsidP="0095782A">
      <w:pPr>
        <w:ind w:firstLineChars="200" w:firstLine="643"/>
        <w:jc w:val="left"/>
        <w:rPr>
          <w:rFonts w:ascii="楷体" w:eastAsia="楷体" w:hAnsi="楷体" w:cs="楷体"/>
          <w:b/>
          <w:bCs/>
          <w:sz w:val="32"/>
          <w:szCs w:val="32"/>
        </w:rPr>
      </w:pPr>
      <w:r>
        <w:rPr>
          <w:rFonts w:ascii="楷体" w:eastAsia="楷体" w:hAnsi="楷体" w:cs="楷体" w:hint="eastAsia"/>
          <w:b/>
          <w:bCs/>
          <w:sz w:val="32"/>
          <w:szCs w:val="32"/>
        </w:rPr>
        <w:t>（四）积极培育市场主体</w:t>
      </w:r>
    </w:p>
    <w:p w14:paraId="4B577594" w14:textId="77777777" w:rsidR="0095782A" w:rsidRDefault="00231772">
      <w:pPr>
        <w:ind w:firstLineChars="200" w:firstLine="640"/>
        <w:jc w:val="left"/>
        <w:rPr>
          <w:rFonts w:ascii="仿宋" w:eastAsia="仿宋" w:hAnsi="仿宋" w:cs="仿宋"/>
          <w:sz w:val="32"/>
          <w:szCs w:val="32"/>
        </w:rPr>
      </w:pPr>
      <w:r>
        <w:rPr>
          <w:rFonts w:ascii="仿宋" w:eastAsia="仿宋" w:hAnsi="仿宋" w:cs="仿宋" w:hint="eastAsia"/>
          <w:sz w:val="32"/>
          <w:szCs w:val="32"/>
        </w:rPr>
        <w:t>坚持政府引导、市场运作的原则，以秸秆肥料化、饲料化、燃料化利用为重点，支持一批秸秆综合利用龙头企业发展，延伸产业链、提升价值链，加快推进秸秆综合利用产业结构优化和提质增效。培育一批秸秆收储运社会化服务组织和培训一批专业化人才，依托秸秆利用企业（合作社），农机专业合作社、集体经济组织、种养大户等构建县域全覆盖的秸秆收储和供应网络，逐步形成市场化的秸秆收储和供应能力。</w:t>
      </w:r>
    </w:p>
    <w:p w14:paraId="75468E99" w14:textId="77777777" w:rsidR="0095782A" w:rsidRDefault="00231772" w:rsidP="0095782A">
      <w:pPr>
        <w:ind w:firstLineChars="200" w:firstLine="643"/>
        <w:jc w:val="left"/>
        <w:rPr>
          <w:rFonts w:ascii="楷体" w:eastAsia="楷体" w:hAnsi="楷体" w:cs="楷体"/>
          <w:b/>
          <w:bCs/>
          <w:sz w:val="32"/>
          <w:szCs w:val="32"/>
        </w:rPr>
      </w:pPr>
      <w:r>
        <w:rPr>
          <w:rFonts w:ascii="楷体" w:eastAsia="楷体" w:hAnsi="楷体" w:cs="楷体" w:hint="eastAsia"/>
          <w:b/>
          <w:bCs/>
          <w:sz w:val="32"/>
          <w:szCs w:val="32"/>
        </w:rPr>
        <w:t>（五）加强秸秆</w:t>
      </w:r>
      <w:proofErr w:type="gramStart"/>
      <w:r>
        <w:rPr>
          <w:rFonts w:ascii="楷体" w:eastAsia="楷体" w:hAnsi="楷体" w:cs="楷体" w:hint="eastAsia"/>
          <w:b/>
          <w:bCs/>
          <w:sz w:val="32"/>
          <w:szCs w:val="32"/>
        </w:rPr>
        <w:t>资源台</w:t>
      </w:r>
      <w:proofErr w:type="gramEnd"/>
      <w:r>
        <w:rPr>
          <w:rFonts w:ascii="楷体" w:eastAsia="楷体" w:hAnsi="楷体" w:cs="楷体" w:hint="eastAsia"/>
          <w:b/>
          <w:bCs/>
          <w:sz w:val="32"/>
          <w:szCs w:val="32"/>
        </w:rPr>
        <w:t>账建设</w:t>
      </w:r>
    </w:p>
    <w:p w14:paraId="2ED969A3" w14:textId="77777777" w:rsidR="0095782A" w:rsidRDefault="00231772">
      <w:pPr>
        <w:ind w:firstLineChars="200" w:firstLine="640"/>
        <w:jc w:val="left"/>
        <w:rPr>
          <w:rFonts w:ascii="仿宋" w:eastAsia="仿宋" w:hAnsi="仿宋" w:cs="仿宋"/>
          <w:sz w:val="32"/>
          <w:szCs w:val="32"/>
        </w:rPr>
      </w:pPr>
      <w:r>
        <w:rPr>
          <w:rFonts w:ascii="仿宋" w:eastAsia="仿宋" w:hAnsi="仿宋" w:cs="仿宋" w:hint="eastAsia"/>
          <w:sz w:val="32"/>
          <w:szCs w:val="32"/>
        </w:rPr>
        <w:t>秸秆</w:t>
      </w:r>
      <w:proofErr w:type="gramStart"/>
      <w:r>
        <w:rPr>
          <w:rFonts w:ascii="仿宋" w:eastAsia="仿宋" w:hAnsi="仿宋" w:cs="仿宋" w:hint="eastAsia"/>
          <w:sz w:val="32"/>
          <w:szCs w:val="32"/>
        </w:rPr>
        <w:t>资源台</w:t>
      </w:r>
      <w:proofErr w:type="gramEnd"/>
      <w:r>
        <w:rPr>
          <w:rFonts w:ascii="仿宋" w:eastAsia="仿宋" w:hAnsi="仿宋" w:cs="仿宋" w:hint="eastAsia"/>
          <w:sz w:val="32"/>
          <w:szCs w:val="32"/>
        </w:rPr>
        <w:t>账是各级生态文明考核的重要数据支撑。各地参考更新后的秸秆</w:t>
      </w:r>
      <w:proofErr w:type="gramStart"/>
      <w:r>
        <w:rPr>
          <w:rFonts w:ascii="仿宋" w:eastAsia="仿宋" w:hAnsi="仿宋" w:cs="仿宋" w:hint="eastAsia"/>
          <w:sz w:val="32"/>
          <w:szCs w:val="32"/>
        </w:rPr>
        <w:t>草谷比</w:t>
      </w:r>
      <w:proofErr w:type="gramEnd"/>
      <w:r>
        <w:rPr>
          <w:rFonts w:ascii="仿宋" w:eastAsia="仿宋" w:hAnsi="仿宋" w:cs="仿宋" w:hint="eastAsia"/>
          <w:sz w:val="32"/>
          <w:szCs w:val="32"/>
        </w:rPr>
        <w:t>和</w:t>
      </w:r>
      <w:proofErr w:type="gramStart"/>
      <w:r>
        <w:rPr>
          <w:rFonts w:ascii="仿宋" w:eastAsia="仿宋" w:hAnsi="仿宋" w:cs="仿宋" w:hint="eastAsia"/>
          <w:sz w:val="32"/>
          <w:szCs w:val="32"/>
        </w:rPr>
        <w:t>可</w:t>
      </w:r>
      <w:proofErr w:type="gramEnd"/>
      <w:r>
        <w:rPr>
          <w:rFonts w:ascii="仿宋" w:eastAsia="仿宋" w:hAnsi="仿宋" w:cs="仿宋" w:hint="eastAsia"/>
          <w:sz w:val="32"/>
          <w:szCs w:val="32"/>
        </w:rPr>
        <w:t>收集系数，按照分级负责的原则，以县为单元继续做好2019年度秸秆</w:t>
      </w:r>
      <w:proofErr w:type="gramStart"/>
      <w:r>
        <w:rPr>
          <w:rFonts w:ascii="仿宋" w:eastAsia="仿宋" w:hAnsi="仿宋" w:cs="仿宋" w:hint="eastAsia"/>
          <w:sz w:val="32"/>
          <w:szCs w:val="32"/>
        </w:rPr>
        <w:t>资源台</w:t>
      </w:r>
      <w:proofErr w:type="gramEnd"/>
      <w:r>
        <w:rPr>
          <w:rFonts w:ascii="仿宋" w:eastAsia="仿宋" w:hAnsi="仿宋" w:cs="仿宋" w:hint="eastAsia"/>
          <w:sz w:val="32"/>
          <w:szCs w:val="32"/>
        </w:rPr>
        <w:t>账建设，摸清资源底数，掌握利用情况，搭建国家、省、市、县四级秸秆资源数据共享平台，为各级政府制定秸秆综合利用政策、规划布局、产业发展等提供数据支撑。各县于3月31日前通过秸秆</w:t>
      </w:r>
      <w:proofErr w:type="gramStart"/>
      <w:r>
        <w:rPr>
          <w:rFonts w:ascii="仿宋" w:eastAsia="仿宋" w:hAnsi="仿宋" w:cs="仿宋" w:hint="eastAsia"/>
          <w:sz w:val="32"/>
          <w:szCs w:val="32"/>
        </w:rPr>
        <w:t>资源台</w:t>
      </w:r>
      <w:proofErr w:type="gramEnd"/>
      <w:r>
        <w:rPr>
          <w:rFonts w:ascii="仿宋" w:eastAsia="仿宋" w:hAnsi="仿宋" w:cs="仿宋" w:hint="eastAsia"/>
          <w:sz w:val="32"/>
          <w:szCs w:val="32"/>
        </w:rPr>
        <w:t>账系统平台提交秸秆</w:t>
      </w:r>
      <w:proofErr w:type="gramStart"/>
      <w:r>
        <w:rPr>
          <w:rFonts w:ascii="仿宋" w:eastAsia="仿宋" w:hAnsi="仿宋" w:cs="仿宋" w:hint="eastAsia"/>
          <w:sz w:val="32"/>
          <w:szCs w:val="32"/>
        </w:rPr>
        <w:t>资源台</w:t>
      </w:r>
      <w:proofErr w:type="gramEnd"/>
      <w:r>
        <w:rPr>
          <w:rFonts w:ascii="仿宋" w:eastAsia="仿宋" w:hAnsi="仿宋" w:cs="仿宋" w:hint="eastAsia"/>
          <w:sz w:val="32"/>
          <w:szCs w:val="32"/>
        </w:rPr>
        <w:t>账数据，各市于4月15日前提交秸秆</w:t>
      </w:r>
      <w:proofErr w:type="gramStart"/>
      <w:r>
        <w:rPr>
          <w:rFonts w:ascii="仿宋" w:eastAsia="仿宋" w:hAnsi="仿宋" w:cs="仿宋" w:hint="eastAsia"/>
          <w:sz w:val="32"/>
          <w:szCs w:val="32"/>
        </w:rPr>
        <w:t>资源台</w:t>
      </w:r>
      <w:proofErr w:type="gramEnd"/>
      <w:r>
        <w:rPr>
          <w:rFonts w:ascii="仿宋" w:eastAsia="仿宋" w:hAnsi="仿宋" w:cs="仿宋" w:hint="eastAsia"/>
          <w:sz w:val="32"/>
          <w:szCs w:val="32"/>
        </w:rPr>
        <w:t>账数据。</w:t>
      </w:r>
    </w:p>
    <w:p w14:paraId="65B654F9" w14:textId="77777777" w:rsidR="0095782A" w:rsidRDefault="00231772">
      <w:pPr>
        <w:ind w:firstLineChars="200" w:firstLine="640"/>
        <w:jc w:val="left"/>
        <w:rPr>
          <w:rFonts w:ascii="黑体" w:eastAsia="黑体" w:hAnsi="黑体" w:cs="黑体"/>
          <w:sz w:val="32"/>
          <w:szCs w:val="32"/>
        </w:rPr>
      </w:pPr>
      <w:r>
        <w:rPr>
          <w:rFonts w:ascii="黑体" w:eastAsia="黑体" w:hAnsi="黑体" w:cs="黑体" w:hint="eastAsia"/>
          <w:sz w:val="32"/>
          <w:szCs w:val="32"/>
        </w:rPr>
        <w:t>四、保障措施</w:t>
      </w:r>
    </w:p>
    <w:p w14:paraId="1EE6CE98" w14:textId="77777777" w:rsidR="0095782A" w:rsidRDefault="00231772" w:rsidP="0095782A">
      <w:pPr>
        <w:ind w:firstLineChars="200" w:firstLine="643"/>
        <w:jc w:val="left"/>
        <w:rPr>
          <w:rFonts w:ascii="仿宋" w:eastAsia="仿宋" w:hAnsi="仿宋" w:cs="仿宋"/>
          <w:sz w:val="32"/>
          <w:szCs w:val="32"/>
        </w:rPr>
      </w:pPr>
      <w:r>
        <w:rPr>
          <w:rFonts w:ascii="楷体" w:eastAsia="楷体" w:hAnsi="楷体" w:cs="楷体" w:hint="eastAsia"/>
          <w:b/>
          <w:bCs/>
          <w:sz w:val="32"/>
          <w:szCs w:val="32"/>
        </w:rPr>
        <w:t>（一）加强组织领导。</w:t>
      </w:r>
      <w:r>
        <w:rPr>
          <w:rFonts w:ascii="仿宋" w:eastAsia="仿宋" w:hAnsi="仿宋" w:cs="仿宋" w:hint="eastAsia"/>
          <w:sz w:val="32"/>
          <w:szCs w:val="32"/>
        </w:rPr>
        <w:t>各级人民政府是秸秆综合利用的责任主体。各地要提高认识，落实秸秆综合利用主体责任，将秸秆综合利用作为打好农业农村污染治理攻坚战的重点工作和推进农业高质量发展的重要举措。成立由政府分管负责同志牵头的秸秆综合利用领导机构，</w:t>
      </w:r>
      <w:proofErr w:type="gramStart"/>
      <w:r>
        <w:rPr>
          <w:rFonts w:ascii="仿宋" w:eastAsia="仿宋" w:hAnsi="仿宋" w:cs="仿宋" w:hint="eastAsia"/>
          <w:sz w:val="32"/>
          <w:szCs w:val="32"/>
        </w:rPr>
        <w:t>明确部门</w:t>
      </w:r>
      <w:proofErr w:type="gramEnd"/>
      <w:r>
        <w:rPr>
          <w:rFonts w:ascii="仿宋" w:eastAsia="仿宋" w:hAnsi="仿宋" w:cs="仿宋" w:hint="eastAsia"/>
          <w:sz w:val="32"/>
          <w:szCs w:val="32"/>
        </w:rPr>
        <w:t>职责分工，层层压实责任，形成工作合力，真正建立政府主导、齐抓共管、上下联动的工作机制。各地农业农村部门要将秸秆综合利用纳入年度农业农村重点工作目标责任制考核内容，加强监督考核，确保年度目标的顺利实现。</w:t>
      </w:r>
    </w:p>
    <w:p w14:paraId="1790538B" w14:textId="77777777" w:rsidR="0095782A" w:rsidRDefault="00231772" w:rsidP="0095782A">
      <w:pPr>
        <w:ind w:firstLineChars="200" w:firstLine="643"/>
        <w:jc w:val="left"/>
        <w:rPr>
          <w:rFonts w:ascii="仿宋" w:eastAsia="仿宋" w:hAnsi="仿宋" w:cs="仿宋"/>
          <w:sz w:val="32"/>
          <w:szCs w:val="32"/>
        </w:rPr>
      </w:pPr>
      <w:r>
        <w:rPr>
          <w:rFonts w:ascii="楷体" w:eastAsia="楷体" w:hAnsi="楷体" w:cs="楷体" w:hint="eastAsia"/>
          <w:b/>
          <w:bCs/>
          <w:sz w:val="32"/>
          <w:szCs w:val="32"/>
        </w:rPr>
        <w:t>（二）加大政策扶持。</w:t>
      </w:r>
      <w:r>
        <w:rPr>
          <w:rFonts w:ascii="仿宋" w:eastAsia="仿宋" w:hAnsi="仿宋" w:cs="仿宋" w:hint="eastAsia"/>
          <w:sz w:val="32"/>
          <w:szCs w:val="32"/>
        </w:rPr>
        <w:t>认真贯彻落实省人大常委会《关于促进农作物秸秆综合利用和禁止露天焚烧的决定》，推动地方落实财政投入、税收优惠、金融信贷、用地、用电、运输“绿色通道”等优惠政策措施。持续加大资金投入力度，强化政策资金导向作用，吸引社会资本投入，整合涉农资金加大向秸秆还田、收储运、加工利用等方面的倾斜支持力度，进一步提高秸秆资源化利用水平。</w:t>
      </w:r>
    </w:p>
    <w:p w14:paraId="16E1C96D" w14:textId="77777777" w:rsidR="0095782A" w:rsidRDefault="00231772" w:rsidP="0095782A">
      <w:pPr>
        <w:ind w:firstLineChars="200" w:firstLine="643"/>
        <w:jc w:val="left"/>
        <w:rPr>
          <w:rFonts w:ascii="仿宋" w:eastAsia="仿宋" w:hAnsi="仿宋" w:cs="仿宋"/>
          <w:sz w:val="32"/>
          <w:szCs w:val="32"/>
        </w:rPr>
      </w:pPr>
      <w:r>
        <w:rPr>
          <w:rFonts w:ascii="楷体" w:eastAsia="楷体" w:hAnsi="楷体" w:cs="楷体" w:hint="eastAsia"/>
          <w:b/>
          <w:bCs/>
          <w:sz w:val="32"/>
          <w:szCs w:val="32"/>
        </w:rPr>
        <w:t>（三）创新工作机制。</w:t>
      </w:r>
      <w:r>
        <w:rPr>
          <w:rFonts w:ascii="仿宋" w:eastAsia="仿宋" w:hAnsi="仿宋" w:cs="仿宋" w:hint="eastAsia"/>
          <w:sz w:val="32"/>
          <w:szCs w:val="32"/>
        </w:rPr>
        <w:t>探索将耕地地力保护补贴与秸秆综合利用挂钩机制，稳妥推进补偿制度创设工作。建立健全秸秆</w:t>
      </w:r>
      <w:proofErr w:type="gramStart"/>
      <w:r>
        <w:rPr>
          <w:rFonts w:ascii="仿宋" w:eastAsia="仿宋" w:hAnsi="仿宋" w:cs="仿宋" w:hint="eastAsia"/>
          <w:sz w:val="32"/>
          <w:szCs w:val="32"/>
        </w:rPr>
        <w:t>资源台账管理</w:t>
      </w:r>
      <w:proofErr w:type="gramEnd"/>
      <w:r>
        <w:rPr>
          <w:rFonts w:ascii="仿宋" w:eastAsia="仿宋" w:hAnsi="仿宋" w:cs="仿宋" w:hint="eastAsia"/>
          <w:sz w:val="32"/>
          <w:szCs w:val="32"/>
        </w:rPr>
        <w:t>制度，把秸秆</w:t>
      </w:r>
      <w:proofErr w:type="gramStart"/>
      <w:r>
        <w:rPr>
          <w:rFonts w:ascii="仿宋" w:eastAsia="仿宋" w:hAnsi="仿宋" w:cs="仿宋" w:hint="eastAsia"/>
          <w:sz w:val="32"/>
          <w:szCs w:val="32"/>
        </w:rPr>
        <w:t>资源台账数据</w:t>
      </w:r>
      <w:proofErr w:type="gramEnd"/>
      <w:r>
        <w:rPr>
          <w:rFonts w:ascii="仿宋" w:eastAsia="仿宋" w:hAnsi="仿宋" w:cs="仿宋" w:hint="eastAsia"/>
          <w:sz w:val="32"/>
          <w:szCs w:val="32"/>
        </w:rPr>
        <w:t>作规划方案制定、政策补助资金发放、目标考核的重要依据。加强检查督导，强化考核结果应用，建立健全激励和责任追究机制。</w:t>
      </w:r>
    </w:p>
    <w:p w14:paraId="6EF90A79" w14:textId="77777777" w:rsidR="0095782A" w:rsidRDefault="00231772" w:rsidP="0095782A">
      <w:pPr>
        <w:ind w:firstLineChars="200" w:firstLine="643"/>
        <w:jc w:val="left"/>
        <w:rPr>
          <w:rFonts w:ascii="仿宋" w:eastAsia="仿宋" w:hAnsi="仿宋" w:cs="仿宋"/>
          <w:sz w:val="32"/>
          <w:szCs w:val="32"/>
        </w:rPr>
      </w:pPr>
      <w:r>
        <w:rPr>
          <w:rFonts w:ascii="楷体" w:eastAsia="楷体" w:hAnsi="楷体" w:cs="楷体" w:hint="eastAsia"/>
          <w:b/>
          <w:bCs/>
          <w:sz w:val="32"/>
          <w:szCs w:val="32"/>
        </w:rPr>
        <w:t>（四）强化技术支撑。</w:t>
      </w:r>
      <w:r>
        <w:rPr>
          <w:rFonts w:ascii="仿宋" w:eastAsia="仿宋" w:hAnsi="仿宋" w:cs="仿宋" w:hint="eastAsia"/>
          <w:sz w:val="32"/>
          <w:szCs w:val="32"/>
        </w:rPr>
        <w:t>依托国家现代产业技术体系和基层农技推广体系，推进秸秆综合利用农科教结合，产学研一体化。省秸秆综合利用技术专家组加强对全省秸秆综合利用工作的技术指导，指导重点县编制项目实施方案、实地开展技术服务，总结凝练县域秸秆综合利用模式。各市县要结合实际，成立技术专家组，深入开展技术指导培训，注重总结适合当地的秸秆直接还田和离田利用技术规程，凝练相关技术内涵、特点、操作要点、适用区域等，形成区域秸秆综合利用主要技术清单。</w:t>
      </w:r>
    </w:p>
    <w:p w14:paraId="6313C6C8" w14:textId="77777777" w:rsidR="0095782A" w:rsidRDefault="00231772">
      <w:pPr>
        <w:ind w:firstLineChars="200" w:firstLine="640"/>
        <w:jc w:val="left"/>
        <w:rPr>
          <w:rFonts w:ascii="仿宋" w:eastAsia="仿宋" w:hAnsi="仿宋" w:cs="仿宋"/>
          <w:sz w:val="32"/>
          <w:szCs w:val="32"/>
        </w:rPr>
      </w:pPr>
      <w:r>
        <w:rPr>
          <w:rFonts w:ascii="仿宋" w:eastAsia="仿宋" w:hAnsi="仿宋" w:cs="仿宋" w:hint="eastAsia"/>
          <w:sz w:val="32"/>
          <w:szCs w:val="32"/>
        </w:rPr>
        <w:t>各地要结合有机旱作农业、农业生产托管、生态循环农业、有机肥替代化肥、机械化秸秆粉碎还田等项目，因地制宜建设秸秆综合利用示范片（区、点），集成展示和推广各类秸秆综合利用技术和农机具，促进先进秸秆综合利用技术和农机具普及应用。</w:t>
      </w:r>
    </w:p>
    <w:p w14:paraId="08BDC632" w14:textId="77777777" w:rsidR="0095782A" w:rsidRDefault="00231772" w:rsidP="0095782A">
      <w:pPr>
        <w:ind w:firstLineChars="200" w:firstLine="643"/>
        <w:jc w:val="left"/>
        <w:rPr>
          <w:rFonts w:ascii="仿宋" w:eastAsia="仿宋" w:hAnsi="仿宋" w:cs="仿宋"/>
          <w:sz w:val="32"/>
          <w:szCs w:val="32"/>
        </w:rPr>
      </w:pPr>
      <w:r>
        <w:rPr>
          <w:rFonts w:ascii="楷体" w:eastAsia="楷体" w:hAnsi="楷体" w:cs="楷体" w:hint="eastAsia"/>
          <w:b/>
          <w:bCs/>
          <w:sz w:val="32"/>
          <w:szCs w:val="32"/>
        </w:rPr>
        <w:t>（五）广泛宣传引导。</w:t>
      </w:r>
      <w:r>
        <w:rPr>
          <w:rFonts w:ascii="仿宋" w:eastAsia="仿宋" w:hAnsi="仿宋" w:cs="仿宋" w:hint="eastAsia"/>
          <w:sz w:val="32"/>
          <w:szCs w:val="32"/>
        </w:rPr>
        <w:t>高度重视宣传引导工作，按照“分区域、分作物、分层级”的思路，开展技术政策培训、示范观摩、现场交流活动，提升基层专业化水平。及时挖掘秸秆综合利用的好做法、好经验、好典型，充分</w:t>
      </w:r>
      <w:r>
        <w:rPr>
          <w:rFonts w:ascii="仿宋" w:eastAsia="仿宋" w:hAnsi="仿宋" w:cs="仿宋"/>
          <w:sz w:val="32"/>
          <w:szCs w:val="32"/>
        </w:rPr>
        <w:t>利用广播、 电视、报刊、网络等</w:t>
      </w:r>
      <w:r>
        <w:rPr>
          <w:rFonts w:ascii="仿宋" w:eastAsia="仿宋" w:hAnsi="仿宋" w:cs="仿宋" w:hint="eastAsia"/>
          <w:sz w:val="32"/>
          <w:szCs w:val="32"/>
        </w:rPr>
        <w:t>媒介以及群众喜闻乐见的形式，多渠道、多角度、全方位宣传秸秆综合利用工作，大力营造全社会关注、支持秸秆综合利用的良好环境。</w:t>
      </w:r>
    </w:p>
    <w:p w14:paraId="73690FFA" w14:textId="77777777" w:rsidR="0095782A" w:rsidRDefault="0095782A">
      <w:pPr>
        <w:jc w:val="left"/>
        <w:rPr>
          <w:rFonts w:ascii="仿宋" w:eastAsia="仿宋" w:hAnsi="仿宋" w:cs="仿宋"/>
          <w:sz w:val="32"/>
          <w:szCs w:val="32"/>
        </w:rPr>
      </w:pPr>
    </w:p>
    <w:p w14:paraId="2096E348" w14:textId="77777777" w:rsidR="0095782A" w:rsidRDefault="0095782A">
      <w:pPr>
        <w:jc w:val="left"/>
        <w:rPr>
          <w:rFonts w:ascii="仿宋" w:eastAsia="仿宋" w:hAnsi="仿宋" w:cs="仿宋"/>
          <w:sz w:val="32"/>
          <w:szCs w:val="32"/>
        </w:rPr>
      </w:pPr>
    </w:p>
    <w:p w14:paraId="579A0591" w14:textId="77777777" w:rsidR="0095782A" w:rsidRDefault="0095782A">
      <w:pPr>
        <w:jc w:val="left"/>
        <w:rPr>
          <w:rFonts w:ascii="仿宋" w:eastAsia="仿宋" w:hAnsi="仿宋" w:cs="仿宋"/>
          <w:sz w:val="32"/>
          <w:szCs w:val="32"/>
        </w:rPr>
      </w:pPr>
    </w:p>
    <w:p w14:paraId="4AD45F4C" w14:textId="77777777" w:rsidR="0095782A" w:rsidRDefault="0095782A">
      <w:pPr>
        <w:jc w:val="left"/>
        <w:rPr>
          <w:rFonts w:ascii="仿宋" w:eastAsia="仿宋" w:hAnsi="仿宋" w:cs="仿宋"/>
          <w:sz w:val="32"/>
          <w:szCs w:val="32"/>
        </w:rPr>
      </w:pPr>
    </w:p>
    <w:p w14:paraId="5058B55C" w14:textId="77777777" w:rsidR="0095782A" w:rsidRDefault="0095782A">
      <w:pPr>
        <w:jc w:val="left"/>
        <w:rPr>
          <w:rFonts w:ascii="仿宋" w:eastAsia="仿宋" w:hAnsi="仿宋" w:cs="仿宋"/>
          <w:sz w:val="32"/>
          <w:szCs w:val="32"/>
        </w:rPr>
      </w:pPr>
    </w:p>
    <w:p w14:paraId="76326096" w14:textId="77777777" w:rsidR="0095782A" w:rsidRDefault="0095782A">
      <w:pPr>
        <w:jc w:val="left"/>
        <w:rPr>
          <w:rFonts w:ascii="黑体" w:eastAsia="黑体" w:hAnsi="黑体" w:cs="黑体"/>
          <w:sz w:val="32"/>
          <w:szCs w:val="32"/>
        </w:rPr>
      </w:pPr>
    </w:p>
    <w:p w14:paraId="05B0565A" w14:textId="77777777" w:rsidR="0095782A" w:rsidRDefault="0095782A">
      <w:pPr>
        <w:jc w:val="left"/>
        <w:rPr>
          <w:rFonts w:ascii="黑体" w:eastAsia="黑体" w:hAnsi="黑体" w:cs="黑体"/>
          <w:sz w:val="32"/>
          <w:szCs w:val="32"/>
        </w:rPr>
      </w:pPr>
    </w:p>
    <w:p w14:paraId="58ED77E9" w14:textId="77777777" w:rsidR="0095782A" w:rsidRDefault="0095782A">
      <w:pPr>
        <w:jc w:val="left"/>
        <w:rPr>
          <w:rFonts w:ascii="黑体" w:eastAsia="黑体" w:hAnsi="黑体" w:cs="黑体"/>
          <w:sz w:val="32"/>
          <w:szCs w:val="32"/>
        </w:rPr>
      </w:pPr>
    </w:p>
    <w:p w14:paraId="291E0ED8" w14:textId="77777777" w:rsidR="0095782A" w:rsidRDefault="0095782A">
      <w:pPr>
        <w:jc w:val="left"/>
        <w:rPr>
          <w:rFonts w:ascii="黑体" w:eastAsia="黑体" w:hAnsi="黑体" w:cs="黑体"/>
          <w:sz w:val="32"/>
          <w:szCs w:val="32"/>
        </w:rPr>
      </w:pPr>
    </w:p>
    <w:p w14:paraId="012C4F36" w14:textId="77777777" w:rsidR="0095782A" w:rsidRDefault="0095782A">
      <w:pPr>
        <w:jc w:val="left"/>
        <w:rPr>
          <w:rFonts w:ascii="黑体" w:eastAsia="黑体" w:hAnsi="黑体" w:cs="黑体"/>
          <w:sz w:val="32"/>
          <w:szCs w:val="32"/>
        </w:rPr>
      </w:pPr>
    </w:p>
    <w:p w14:paraId="1BE77CD2" w14:textId="77777777" w:rsidR="0095782A" w:rsidRDefault="0095782A">
      <w:pPr>
        <w:jc w:val="left"/>
        <w:rPr>
          <w:rFonts w:ascii="黑体" w:eastAsia="黑体" w:hAnsi="黑体" w:cs="黑体"/>
          <w:sz w:val="32"/>
          <w:szCs w:val="32"/>
        </w:rPr>
      </w:pPr>
    </w:p>
    <w:p w14:paraId="1AAC5298" w14:textId="77777777" w:rsidR="0095782A" w:rsidRDefault="0095782A">
      <w:pPr>
        <w:jc w:val="left"/>
        <w:rPr>
          <w:rFonts w:ascii="黑体" w:eastAsia="黑体" w:hAnsi="黑体" w:cs="黑体"/>
          <w:sz w:val="32"/>
          <w:szCs w:val="32"/>
        </w:rPr>
      </w:pPr>
    </w:p>
    <w:p w14:paraId="5FE94914" w14:textId="77777777" w:rsidR="0095782A" w:rsidRDefault="0095782A">
      <w:pPr>
        <w:jc w:val="left"/>
        <w:rPr>
          <w:rFonts w:ascii="黑体" w:eastAsia="黑体" w:hAnsi="黑体" w:cs="黑体"/>
          <w:sz w:val="32"/>
          <w:szCs w:val="32"/>
        </w:rPr>
      </w:pPr>
    </w:p>
    <w:p w14:paraId="13A55AC6" w14:textId="77777777" w:rsidR="0095782A" w:rsidRDefault="0095782A">
      <w:pPr>
        <w:jc w:val="left"/>
        <w:rPr>
          <w:rFonts w:ascii="黑体" w:eastAsia="黑体" w:hAnsi="黑体" w:cs="黑体"/>
          <w:sz w:val="32"/>
          <w:szCs w:val="32"/>
        </w:rPr>
      </w:pPr>
    </w:p>
    <w:p w14:paraId="49981946" w14:textId="77777777" w:rsidR="0095782A" w:rsidRDefault="0095782A">
      <w:pPr>
        <w:jc w:val="left"/>
        <w:rPr>
          <w:rFonts w:ascii="黑体" w:eastAsia="黑体" w:hAnsi="黑体" w:cs="黑体"/>
          <w:sz w:val="32"/>
          <w:szCs w:val="32"/>
        </w:rPr>
      </w:pPr>
    </w:p>
    <w:sectPr w:rsidR="0095782A" w:rsidSect="0095782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CA48F9" w14:textId="77777777" w:rsidR="00AE731B" w:rsidRDefault="00AE731B" w:rsidP="00231772">
      <w:r>
        <w:separator/>
      </w:r>
    </w:p>
  </w:endnote>
  <w:endnote w:type="continuationSeparator" w:id="0">
    <w:p w14:paraId="7D875150" w14:textId="77777777" w:rsidR="00AE731B" w:rsidRDefault="00AE731B" w:rsidP="002317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default"/>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800002BF" w:usb1="38CF7CFA" w:usb2="00000016" w:usb3="00000000" w:csb0="00040001" w:csb1="00000000"/>
  </w:font>
  <w:font w:name="楷体">
    <w:altName w:val="Arial Unicode MS"/>
    <w:panose1 w:val="02010609060101010101"/>
    <w:charset w:val="86"/>
    <w:family w:val="modern"/>
    <w:pitch w:val="fixed"/>
    <w:sig w:usb0="800002BF" w:usb1="38CF7CFA" w:usb2="00000016" w:usb3="00000000" w:csb0="00040001" w:csb1="00000000"/>
  </w:font>
  <w:font w:name="仿宋_GB2312">
    <w:altName w:val="Times New Roman"/>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20002A87" w:usb1="00000000"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290EB0" w14:textId="77777777" w:rsidR="00AE731B" w:rsidRDefault="00AE731B" w:rsidP="00231772">
      <w:r>
        <w:separator/>
      </w:r>
    </w:p>
  </w:footnote>
  <w:footnote w:type="continuationSeparator" w:id="0">
    <w:p w14:paraId="5CCE52D3" w14:textId="77777777" w:rsidR="00AE731B" w:rsidRDefault="00AE731B" w:rsidP="002317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defaultTabStop w:val="420"/>
  <w:drawingGridVerticalSpacing w:val="156"/>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D42630A"/>
    <w:rsid w:val="00231772"/>
    <w:rsid w:val="00445AC7"/>
    <w:rsid w:val="00644098"/>
    <w:rsid w:val="00790D27"/>
    <w:rsid w:val="008670FD"/>
    <w:rsid w:val="0095782A"/>
    <w:rsid w:val="009A389D"/>
    <w:rsid w:val="00AE731B"/>
    <w:rsid w:val="00F852E6"/>
    <w:rsid w:val="01432930"/>
    <w:rsid w:val="01A61874"/>
    <w:rsid w:val="01E16BBB"/>
    <w:rsid w:val="026D40A7"/>
    <w:rsid w:val="032738A8"/>
    <w:rsid w:val="03492082"/>
    <w:rsid w:val="04D83B6A"/>
    <w:rsid w:val="05957148"/>
    <w:rsid w:val="06841CCA"/>
    <w:rsid w:val="073745D0"/>
    <w:rsid w:val="0C2E40B0"/>
    <w:rsid w:val="0CF977BC"/>
    <w:rsid w:val="0D42630A"/>
    <w:rsid w:val="0D4319D0"/>
    <w:rsid w:val="0FA92FDE"/>
    <w:rsid w:val="13472CC5"/>
    <w:rsid w:val="15167B1F"/>
    <w:rsid w:val="158F6A22"/>
    <w:rsid w:val="16251DE2"/>
    <w:rsid w:val="17342CC4"/>
    <w:rsid w:val="174469FB"/>
    <w:rsid w:val="178F60CC"/>
    <w:rsid w:val="18603B04"/>
    <w:rsid w:val="1F5E6BB0"/>
    <w:rsid w:val="1FD41F7B"/>
    <w:rsid w:val="23D000C1"/>
    <w:rsid w:val="23D44FBE"/>
    <w:rsid w:val="25BA087C"/>
    <w:rsid w:val="265A523F"/>
    <w:rsid w:val="27052CED"/>
    <w:rsid w:val="292062AB"/>
    <w:rsid w:val="29617AC2"/>
    <w:rsid w:val="2DD343C3"/>
    <w:rsid w:val="2ECF0A4F"/>
    <w:rsid w:val="2F9C70D9"/>
    <w:rsid w:val="31AB30C6"/>
    <w:rsid w:val="3281297F"/>
    <w:rsid w:val="32944ACC"/>
    <w:rsid w:val="33B81BD0"/>
    <w:rsid w:val="344C5546"/>
    <w:rsid w:val="348974E1"/>
    <w:rsid w:val="34E529CA"/>
    <w:rsid w:val="35E907C0"/>
    <w:rsid w:val="370D577D"/>
    <w:rsid w:val="3A292436"/>
    <w:rsid w:val="3B564790"/>
    <w:rsid w:val="3B653C52"/>
    <w:rsid w:val="3CD62067"/>
    <w:rsid w:val="3F286887"/>
    <w:rsid w:val="407B723F"/>
    <w:rsid w:val="413029A6"/>
    <w:rsid w:val="413F4E71"/>
    <w:rsid w:val="419B0152"/>
    <w:rsid w:val="430720E5"/>
    <w:rsid w:val="430E7A5C"/>
    <w:rsid w:val="44646A58"/>
    <w:rsid w:val="46BA5FC6"/>
    <w:rsid w:val="478D5BE4"/>
    <w:rsid w:val="49ED1185"/>
    <w:rsid w:val="4A695351"/>
    <w:rsid w:val="4B9B532F"/>
    <w:rsid w:val="4DC50732"/>
    <w:rsid w:val="4FA7053E"/>
    <w:rsid w:val="4FE81EE0"/>
    <w:rsid w:val="51E60F0B"/>
    <w:rsid w:val="540B5864"/>
    <w:rsid w:val="57B9467A"/>
    <w:rsid w:val="584430E3"/>
    <w:rsid w:val="58AF2963"/>
    <w:rsid w:val="5AF9490D"/>
    <w:rsid w:val="5C386BA9"/>
    <w:rsid w:val="5D3E2C29"/>
    <w:rsid w:val="5D416D27"/>
    <w:rsid w:val="5F1E3F4A"/>
    <w:rsid w:val="61F37174"/>
    <w:rsid w:val="652F7957"/>
    <w:rsid w:val="69823070"/>
    <w:rsid w:val="6CEB7969"/>
    <w:rsid w:val="6D767DEC"/>
    <w:rsid w:val="6E3F4639"/>
    <w:rsid w:val="737C3076"/>
    <w:rsid w:val="74090EB7"/>
    <w:rsid w:val="770E6C84"/>
    <w:rsid w:val="7DFA51EE"/>
    <w:rsid w:val="7ED93FA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C93F54B"/>
  <w15:docId w15:val="{A668BE1F-2A42-418A-8E03-2B403223E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等线" w:eastAsia="等线" w:hAnsi="等线"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5782A"/>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rsid w:val="0095782A"/>
    <w:pPr>
      <w:tabs>
        <w:tab w:val="center" w:pos="4153"/>
        <w:tab w:val="right" w:pos="8306"/>
      </w:tabs>
      <w:snapToGrid w:val="0"/>
      <w:jc w:val="left"/>
    </w:pPr>
    <w:rPr>
      <w:sz w:val="18"/>
      <w:szCs w:val="18"/>
    </w:rPr>
  </w:style>
  <w:style w:type="paragraph" w:styleId="a5">
    <w:name w:val="header"/>
    <w:basedOn w:val="a"/>
    <w:link w:val="a6"/>
    <w:qFormat/>
    <w:rsid w:val="0095782A"/>
    <w:pPr>
      <w:pBdr>
        <w:bottom w:val="single" w:sz="6" w:space="1" w:color="auto"/>
      </w:pBdr>
      <w:tabs>
        <w:tab w:val="center" w:pos="4153"/>
        <w:tab w:val="right" w:pos="8306"/>
      </w:tabs>
      <w:snapToGrid w:val="0"/>
      <w:jc w:val="center"/>
    </w:pPr>
    <w:rPr>
      <w:sz w:val="18"/>
      <w:szCs w:val="18"/>
    </w:rPr>
  </w:style>
  <w:style w:type="table" w:styleId="a7">
    <w:name w:val="Table Grid"/>
    <w:basedOn w:val="a1"/>
    <w:qFormat/>
    <w:rsid w:val="0095782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qFormat/>
    <w:rsid w:val="0095782A"/>
    <w:rPr>
      <w:color w:val="0000FF"/>
      <w:u w:val="single"/>
    </w:rPr>
  </w:style>
  <w:style w:type="character" w:customStyle="1" w:styleId="a6">
    <w:name w:val="页眉 字符"/>
    <w:basedOn w:val="a0"/>
    <w:link w:val="a5"/>
    <w:qFormat/>
    <w:rsid w:val="0095782A"/>
    <w:rPr>
      <w:rFonts w:asciiTheme="minorHAnsi" w:eastAsiaTheme="minorEastAsia" w:hAnsiTheme="minorHAnsi" w:cstheme="minorBidi"/>
      <w:kern w:val="2"/>
      <w:sz w:val="18"/>
      <w:szCs w:val="18"/>
    </w:rPr>
  </w:style>
  <w:style w:type="character" w:customStyle="1" w:styleId="a4">
    <w:name w:val="页脚 字符"/>
    <w:basedOn w:val="a0"/>
    <w:link w:val="a3"/>
    <w:qFormat/>
    <w:rsid w:val="0095782A"/>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477</Words>
  <Characters>2722</Characters>
  <Application>Microsoft Office Word</Application>
  <DocSecurity>0</DocSecurity>
  <Lines>22</Lines>
  <Paragraphs>6</Paragraphs>
  <ScaleCrop>false</ScaleCrop>
  <Company>Sky123.Org</Company>
  <LinksUpToDate>false</LinksUpToDate>
  <CharactersWithSpaces>3193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cnszwh</dc:creator>
  <cp:lastModifiedBy>Admin</cp:lastModifiedBy>
  <cp:revision>2</cp:revision>
  <cp:lastPrinted>2020-01-07T02:12:00Z</cp:lastPrinted>
  <dcterms:created xsi:type="dcterms:W3CDTF">2020-12-28T07:32:00Z</dcterms:created>
  <dcterms:modified xsi:type="dcterms:W3CDTF">2020-12-28T07:32:00Z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