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0427" w:rsidRPr="004A0427" w:rsidRDefault="004A0427" w:rsidP="004A0427">
      <w:pPr>
        <w:spacing w:line="586" w:lineRule="exact"/>
        <w:jc w:val="center"/>
        <w:rPr>
          <w:rFonts w:ascii="方正粗宋简体" w:eastAsia="方正粗宋简体" w:hAnsi="黑体" w:cs="黑体" w:hint="eastAsia"/>
          <w:sz w:val="32"/>
          <w:szCs w:val="32"/>
        </w:rPr>
      </w:pPr>
      <w:r w:rsidRPr="004A0427">
        <w:rPr>
          <w:rFonts w:ascii="方正粗宋简体" w:eastAsia="方正粗宋简体" w:hAnsi="黑体" w:cs="黑体" w:hint="eastAsia"/>
          <w:sz w:val="32"/>
          <w:szCs w:val="32"/>
        </w:rPr>
        <w:t>山西省农业农村厅办公室关于印发《山西省2021年秸秆综合利用项目实施方案》的通知</w:t>
      </w:r>
    </w:p>
    <w:p w:rsidR="004A0427" w:rsidRPr="004A0427" w:rsidRDefault="004A0427" w:rsidP="004A0427">
      <w:pPr>
        <w:spacing w:line="586" w:lineRule="exact"/>
        <w:jc w:val="center"/>
        <w:rPr>
          <w:rFonts w:ascii="黑体" w:eastAsia="黑体" w:hAnsi="黑体" w:cs="黑体" w:hint="eastAsia"/>
          <w:szCs w:val="21"/>
        </w:rPr>
      </w:pPr>
      <w:r w:rsidRPr="004A0427">
        <w:rPr>
          <w:rFonts w:ascii="黑体" w:eastAsia="黑体" w:hAnsi="黑体" w:cs="黑体" w:hint="eastAsia"/>
          <w:szCs w:val="21"/>
        </w:rPr>
        <w:t>晋农办科发〔2021〕94号</w:t>
      </w:r>
    </w:p>
    <w:p w:rsidR="004A0427" w:rsidRPr="004A0427" w:rsidRDefault="004A0427" w:rsidP="004A0427">
      <w:pPr>
        <w:spacing w:line="586" w:lineRule="exact"/>
        <w:jc w:val="left"/>
        <w:rPr>
          <w:rFonts w:ascii="黑体" w:eastAsia="黑体" w:hAnsi="黑体" w:cs="黑体"/>
          <w:sz w:val="32"/>
          <w:szCs w:val="32"/>
        </w:rPr>
      </w:pPr>
    </w:p>
    <w:p w:rsidR="004A0427" w:rsidRPr="004A0427" w:rsidRDefault="004A0427" w:rsidP="004A0427">
      <w:pPr>
        <w:spacing w:line="586" w:lineRule="exact"/>
        <w:jc w:val="left"/>
        <w:rPr>
          <w:rFonts w:ascii="黑体" w:eastAsia="黑体" w:hAnsi="黑体" w:cs="黑体" w:hint="eastAsia"/>
          <w:sz w:val="32"/>
          <w:szCs w:val="32"/>
        </w:rPr>
      </w:pPr>
      <w:r w:rsidRPr="004A0427">
        <w:rPr>
          <w:rFonts w:ascii="黑体" w:eastAsia="黑体" w:hAnsi="黑体" w:cs="黑体" w:hint="eastAsia"/>
          <w:sz w:val="32"/>
          <w:szCs w:val="32"/>
        </w:rPr>
        <w:t>各市农业农村局,有关县农业农村局：</w:t>
      </w:r>
    </w:p>
    <w:p w:rsidR="004A0427" w:rsidRPr="004A0427" w:rsidRDefault="004A0427" w:rsidP="004A0427">
      <w:pPr>
        <w:spacing w:line="586" w:lineRule="exact"/>
        <w:jc w:val="left"/>
        <w:rPr>
          <w:rFonts w:ascii="黑体" w:eastAsia="黑体" w:hAnsi="黑体" w:cs="黑体"/>
          <w:sz w:val="32"/>
          <w:szCs w:val="32"/>
        </w:rPr>
      </w:pPr>
    </w:p>
    <w:p w:rsidR="004A0427" w:rsidRPr="004A0427" w:rsidRDefault="004A0427" w:rsidP="004A0427">
      <w:pPr>
        <w:spacing w:line="586" w:lineRule="exact"/>
        <w:ind w:firstLineChars="189" w:firstLine="567"/>
        <w:jc w:val="left"/>
        <w:rPr>
          <w:rFonts w:asciiTheme="majorEastAsia" w:eastAsiaTheme="majorEastAsia" w:hAnsiTheme="majorEastAsia" w:cs="黑体" w:hint="eastAsia"/>
          <w:sz w:val="30"/>
          <w:szCs w:val="30"/>
        </w:rPr>
      </w:pPr>
      <w:r w:rsidRPr="004A0427">
        <w:rPr>
          <w:rFonts w:asciiTheme="majorEastAsia" w:eastAsiaTheme="majorEastAsia" w:hAnsiTheme="majorEastAsia" w:cs="黑体" w:hint="eastAsia"/>
          <w:sz w:val="30"/>
          <w:szCs w:val="30"/>
        </w:rPr>
        <w:t>根据农业农村部科技教育司《关于开展秸秆综合利用2020年度工作总结暨做好2021年度工作的函》要求，我厅编制了《山西省2021年秸秆综合利用项目实施方案》，现印发给你们，请认真组织实施，确保2021年秸秆综合利用工作取得实效。</w:t>
      </w:r>
    </w:p>
    <w:p w:rsidR="004A0427" w:rsidRPr="004A0427" w:rsidRDefault="004A0427" w:rsidP="004A0427">
      <w:pPr>
        <w:spacing w:line="586" w:lineRule="exact"/>
        <w:ind w:firstLineChars="189" w:firstLine="567"/>
        <w:jc w:val="left"/>
        <w:rPr>
          <w:rFonts w:asciiTheme="majorEastAsia" w:eastAsiaTheme="majorEastAsia" w:hAnsiTheme="majorEastAsia" w:cs="黑体"/>
          <w:sz w:val="30"/>
          <w:szCs w:val="30"/>
        </w:rPr>
      </w:pPr>
    </w:p>
    <w:p w:rsidR="004A0427" w:rsidRPr="004A0427" w:rsidRDefault="004A0427" w:rsidP="004A0427">
      <w:pPr>
        <w:spacing w:line="586" w:lineRule="exact"/>
        <w:ind w:firstLineChars="189" w:firstLine="567"/>
        <w:jc w:val="left"/>
        <w:rPr>
          <w:rFonts w:asciiTheme="majorEastAsia" w:eastAsiaTheme="majorEastAsia" w:hAnsiTheme="majorEastAsia" w:cs="黑体" w:hint="eastAsia"/>
          <w:sz w:val="30"/>
          <w:szCs w:val="30"/>
        </w:rPr>
      </w:pPr>
      <w:r w:rsidRPr="004A0427">
        <w:rPr>
          <w:rFonts w:asciiTheme="majorEastAsia" w:eastAsiaTheme="majorEastAsia" w:hAnsiTheme="majorEastAsia" w:cs="黑体" w:hint="eastAsia"/>
          <w:sz w:val="30"/>
          <w:szCs w:val="30"/>
        </w:rPr>
        <w:t>联系人：张文喜  0351-8235097  sxsnytkjc@163.com</w:t>
      </w:r>
    </w:p>
    <w:p w:rsidR="004A0427" w:rsidRPr="004A0427" w:rsidRDefault="004A0427" w:rsidP="004A0427">
      <w:pPr>
        <w:spacing w:line="586" w:lineRule="exact"/>
        <w:ind w:firstLineChars="189" w:firstLine="567"/>
        <w:jc w:val="left"/>
        <w:rPr>
          <w:rFonts w:asciiTheme="majorEastAsia" w:eastAsiaTheme="majorEastAsia" w:hAnsiTheme="majorEastAsia" w:cs="黑体" w:hint="eastAsia"/>
          <w:sz w:val="30"/>
          <w:szCs w:val="30"/>
        </w:rPr>
      </w:pPr>
      <w:r w:rsidRPr="004A0427">
        <w:rPr>
          <w:rFonts w:asciiTheme="majorEastAsia" w:eastAsiaTheme="majorEastAsia" w:hAnsiTheme="majorEastAsia" w:cs="黑体" w:hint="eastAsia"/>
          <w:sz w:val="30"/>
          <w:szCs w:val="30"/>
        </w:rPr>
        <w:t>武铁平  0351-4046612  stznyk@163.com</w:t>
      </w:r>
    </w:p>
    <w:p w:rsidR="004A0427" w:rsidRPr="004A0427" w:rsidRDefault="004A0427" w:rsidP="004A0427">
      <w:pPr>
        <w:spacing w:line="586" w:lineRule="exact"/>
        <w:ind w:firstLineChars="189" w:firstLine="567"/>
        <w:jc w:val="left"/>
        <w:rPr>
          <w:rFonts w:asciiTheme="majorEastAsia" w:eastAsiaTheme="majorEastAsia" w:hAnsiTheme="majorEastAsia" w:cs="黑体"/>
          <w:sz w:val="30"/>
          <w:szCs w:val="30"/>
        </w:rPr>
      </w:pPr>
    </w:p>
    <w:p w:rsidR="004A0427" w:rsidRPr="004A0427" w:rsidRDefault="004A0427" w:rsidP="004A0427">
      <w:pPr>
        <w:spacing w:line="586" w:lineRule="exact"/>
        <w:ind w:firstLineChars="189" w:firstLine="567"/>
        <w:jc w:val="left"/>
        <w:rPr>
          <w:rFonts w:asciiTheme="majorEastAsia" w:eastAsiaTheme="majorEastAsia" w:hAnsiTheme="majorEastAsia" w:cs="黑体" w:hint="eastAsia"/>
          <w:sz w:val="30"/>
          <w:szCs w:val="30"/>
        </w:rPr>
      </w:pPr>
      <w:r w:rsidRPr="004A0427">
        <w:rPr>
          <w:rFonts w:asciiTheme="majorEastAsia" w:eastAsiaTheme="majorEastAsia" w:hAnsiTheme="majorEastAsia" w:cs="黑体" w:hint="eastAsia"/>
          <w:sz w:val="30"/>
          <w:szCs w:val="30"/>
        </w:rPr>
        <w:t>附件：1.山西省2021年农作物秸秆综合利用项目实施方案</w:t>
      </w:r>
    </w:p>
    <w:p w:rsidR="004A0427" w:rsidRPr="004A0427" w:rsidRDefault="004A0427" w:rsidP="004A0427">
      <w:pPr>
        <w:spacing w:line="586" w:lineRule="exact"/>
        <w:ind w:firstLineChars="189" w:firstLine="567"/>
        <w:jc w:val="left"/>
        <w:rPr>
          <w:rFonts w:asciiTheme="majorEastAsia" w:eastAsiaTheme="majorEastAsia" w:hAnsiTheme="majorEastAsia" w:cs="黑体" w:hint="eastAsia"/>
          <w:sz w:val="30"/>
          <w:szCs w:val="30"/>
        </w:rPr>
      </w:pPr>
      <w:r w:rsidRPr="004A0427">
        <w:rPr>
          <w:rFonts w:asciiTheme="majorEastAsia" w:eastAsiaTheme="majorEastAsia" w:hAnsiTheme="majorEastAsia" w:cs="黑体" w:hint="eastAsia"/>
          <w:sz w:val="30"/>
          <w:szCs w:val="30"/>
        </w:rPr>
        <w:t>2.山西省2021年秸秆综合利用重点县项目自评估表</w:t>
      </w:r>
    </w:p>
    <w:p w:rsidR="004A0427" w:rsidRPr="004A0427" w:rsidRDefault="004A0427" w:rsidP="004A0427">
      <w:pPr>
        <w:spacing w:line="586" w:lineRule="exact"/>
        <w:jc w:val="left"/>
        <w:rPr>
          <w:rFonts w:ascii="黑体" w:eastAsia="黑体" w:hAnsi="黑体" w:cs="黑体"/>
          <w:sz w:val="32"/>
          <w:szCs w:val="32"/>
        </w:rPr>
      </w:pPr>
    </w:p>
    <w:p w:rsidR="004A0427" w:rsidRPr="004A0427" w:rsidRDefault="004A0427" w:rsidP="004A0427">
      <w:pPr>
        <w:spacing w:line="586" w:lineRule="exact"/>
        <w:ind w:firstLineChars="189" w:firstLine="567"/>
        <w:jc w:val="right"/>
        <w:rPr>
          <w:rFonts w:asciiTheme="majorEastAsia" w:eastAsiaTheme="majorEastAsia" w:hAnsiTheme="majorEastAsia" w:cs="黑体" w:hint="eastAsia"/>
          <w:sz w:val="30"/>
          <w:szCs w:val="30"/>
        </w:rPr>
      </w:pPr>
      <w:r w:rsidRPr="004A0427">
        <w:rPr>
          <w:rFonts w:asciiTheme="majorEastAsia" w:eastAsiaTheme="majorEastAsia" w:hAnsiTheme="majorEastAsia" w:cs="黑体" w:hint="eastAsia"/>
          <w:sz w:val="30"/>
          <w:szCs w:val="30"/>
        </w:rPr>
        <w:t>山西省农业农村厅办公室</w:t>
      </w:r>
    </w:p>
    <w:p w:rsidR="004A0427" w:rsidRPr="004A0427" w:rsidRDefault="004A0427" w:rsidP="004A0427">
      <w:pPr>
        <w:spacing w:line="586" w:lineRule="exact"/>
        <w:ind w:firstLineChars="189" w:firstLine="567"/>
        <w:jc w:val="right"/>
        <w:rPr>
          <w:rFonts w:asciiTheme="majorEastAsia" w:eastAsiaTheme="majorEastAsia" w:hAnsiTheme="majorEastAsia" w:cs="黑体" w:hint="eastAsia"/>
          <w:sz w:val="30"/>
          <w:szCs w:val="30"/>
        </w:rPr>
      </w:pPr>
      <w:r w:rsidRPr="004A0427">
        <w:rPr>
          <w:rFonts w:asciiTheme="majorEastAsia" w:eastAsiaTheme="majorEastAsia" w:hAnsiTheme="majorEastAsia" w:cs="黑体" w:hint="eastAsia"/>
          <w:sz w:val="30"/>
          <w:szCs w:val="30"/>
        </w:rPr>
        <w:t>2021年4月26日</w:t>
      </w:r>
    </w:p>
    <w:p w:rsidR="004A0427" w:rsidRDefault="004A0427" w:rsidP="004839DF">
      <w:pPr>
        <w:spacing w:line="586" w:lineRule="exact"/>
        <w:jc w:val="left"/>
        <w:rPr>
          <w:rFonts w:ascii="黑体" w:eastAsia="黑体" w:hAnsi="黑体" w:cs="黑体" w:hint="eastAsia"/>
          <w:sz w:val="32"/>
          <w:szCs w:val="32"/>
        </w:rPr>
      </w:pPr>
    </w:p>
    <w:p w:rsidR="004A0427" w:rsidRDefault="004A0427" w:rsidP="004839DF">
      <w:pPr>
        <w:spacing w:line="586" w:lineRule="exact"/>
        <w:jc w:val="left"/>
        <w:rPr>
          <w:rFonts w:ascii="黑体" w:eastAsia="黑体" w:hAnsi="黑体" w:cs="黑体" w:hint="eastAsia"/>
          <w:sz w:val="32"/>
          <w:szCs w:val="32"/>
        </w:rPr>
      </w:pPr>
    </w:p>
    <w:p w:rsidR="004A0427" w:rsidRDefault="004A0427" w:rsidP="004839DF">
      <w:pPr>
        <w:spacing w:line="586" w:lineRule="exact"/>
        <w:jc w:val="left"/>
        <w:rPr>
          <w:rFonts w:ascii="黑体" w:eastAsia="黑体" w:hAnsi="黑体" w:cs="黑体" w:hint="eastAsia"/>
          <w:sz w:val="32"/>
          <w:szCs w:val="32"/>
        </w:rPr>
      </w:pPr>
    </w:p>
    <w:p w:rsidR="004839DF" w:rsidRDefault="004839DF" w:rsidP="004839DF">
      <w:pPr>
        <w:spacing w:line="586" w:lineRule="exact"/>
        <w:jc w:val="left"/>
        <w:rPr>
          <w:rFonts w:ascii="黑体" w:eastAsia="黑体" w:hAnsi="黑体" w:cs="黑体"/>
          <w:sz w:val="32"/>
          <w:szCs w:val="32"/>
        </w:rPr>
      </w:pPr>
      <w:r>
        <w:rPr>
          <w:rFonts w:ascii="黑体" w:eastAsia="黑体" w:hAnsi="黑体" w:cs="黑体" w:hint="eastAsia"/>
          <w:sz w:val="32"/>
          <w:szCs w:val="32"/>
        </w:rPr>
        <w:lastRenderedPageBreak/>
        <w:t>附件1</w:t>
      </w:r>
    </w:p>
    <w:p w:rsidR="004839DF" w:rsidRDefault="004839DF" w:rsidP="004839DF">
      <w:pPr>
        <w:spacing w:line="586" w:lineRule="exact"/>
        <w:jc w:val="left"/>
        <w:rPr>
          <w:rFonts w:ascii="黑体" w:eastAsia="黑体" w:hAnsi="黑体" w:cs="黑体"/>
          <w:sz w:val="32"/>
          <w:szCs w:val="32"/>
        </w:rPr>
      </w:pPr>
    </w:p>
    <w:p w:rsidR="004839DF" w:rsidRDefault="004839DF" w:rsidP="004839DF">
      <w:pPr>
        <w:spacing w:line="586"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山西省</w:t>
      </w:r>
      <w:r w:rsidRPr="004B4B43">
        <w:rPr>
          <w:rFonts w:ascii="方正小标宋简体" w:eastAsia="方正小标宋简体" w:hAnsi="宋体" w:cs="方正小标宋简体" w:hint="eastAsia"/>
          <w:sz w:val="44"/>
          <w:szCs w:val="44"/>
        </w:rPr>
        <w:t>2021</w:t>
      </w:r>
      <w:r>
        <w:rPr>
          <w:rFonts w:ascii="方正小标宋简体" w:eastAsia="方正小标宋简体" w:hAnsi="方正小标宋简体" w:cs="方正小标宋简体" w:hint="eastAsia"/>
          <w:sz w:val="44"/>
          <w:szCs w:val="44"/>
        </w:rPr>
        <w:t>年农作物秸秆综合利用</w:t>
      </w:r>
    </w:p>
    <w:p w:rsidR="004839DF" w:rsidRDefault="004839DF" w:rsidP="004839DF">
      <w:pPr>
        <w:spacing w:line="586"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项目实施方案</w:t>
      </w:r>
    </w:p>
    <w:p w:rsidR="004839DF" w:rsidRPr="00F32CDF" w:rsidRDefault="004839DF" w:rsidP="004839DF">
      <w:pPr>
        <w:spacing w:line="586" w:lineRule="exact"/>
        <w:jc w:val="center"/>
        <w:rPr>
          <w:rFonts w:ascii="方正小标宋简体" w:eastAsia="方正小标宋简体" w:hAnsi="方正小标宋简体" w:cs="方正小标宋简体"/>
          <w:sz w:val="44"/>
          <w:szCs w:val="44"/>
        </w:rPr>
      </w:pPr>
    </w:p>
    <w:p w:rsidR="004839DF" w:rsidRDefault="004839DF" w:rsidP="004839DF">
      <w:pPr>
        <w:widowControl/>
        <w:spacing w:line="586" w:lineRule="exact"/>
        <w:ind w:firstLineChars="200" w:firstLine="640"/>
        <w:rPr>
          <w:rFonts w:ascii="仿宋_GB2312" w:eastAsia="仿宋_GB2312" w:hAnsi="仿宋" w:cs="仿宋"/>
          <w:color w:val="000000"/>
          <w:sz w:val="32"/>
          <w:szCs w:val="32"/>
        </w:rPr>
      </w:pPr>
      <w:r w:rsidRPr="004B4B43">
        <w:rPr>
          <w:rFonts w:ascii="仿宋_GB2312" w:eastAsia="仿宋_GB2312" w:hAnsi="仿宋" w:cs="仿宋" w:hint="eastAsia"/>
          <w:color w:val="000000"/>
          <w:sz w:val="32"/>
          <w:szCs w:val="32"/>
        </w:rPr>
        <w:t>为贯彻落实《农业农村部关于落实好党中央、国务院 2021年农业农村重点工作部署的实施意见》（农发〔2021〕1号），实施好我省2021年中央财政秸秆综合利用项目，进一步推进全省农作物秸秆资源化利用工作，</w:t>
      </w:r>
      <w:r>
        <w:rPr>
          <w:rFonts w:ascii="仿宋_GB2312" w:eastAsia="仿宋_GB2312" w:hAnsi="仿宋" w:cs="仿宋" w:hint="eastAsia"/>
          <w:color w:val="000000"/>
          <w:sz w:val="32"/>
          <w:szCs w:val="32"/>
        </w:rPr>
        <w:t>按照农业农村部科技教育司《关于开展秸秆综合利用2020年度工作总结暨做好2021年度工作的函》要求，结合我省实际，制定本方案。</w:t>
      </w:r>
    </w:p>
    <w:p w:rsidR="004839DF" w:rsidRPr="00F32CDF" w:rsidRDefault="004839DF" w:rsidP="004839DF">
      <w:pPr>
        <w:widowControl/>
        <w:spacing w:line="586" w:lineRule="exact"/>
        <w:ind w:firstLineChars="200" w:firstLine="640"/>
        <w:rPr>
          <w:rFonts w:ascii="仿宋_GB2312" w:eastAsia="仿宋_GB2312" w:hAnsi="仿宋" w:cs="仿宋"/>
          <w:color w:val="000000"/>
          <w:sz w:val="32"/>
          <w:szCs w:val="32"/>
        </w:rPr>
      </w:pPr>
      <w:r>
        <w:rPr>
          <w:rFonts w:ascii="黑体" w:eastAsia="黑体" w:hAnsi="黑体" w:cs="黑体" w:hint="eastAsia"/>
          <w:color w:val="000000"/>
          <w:sz w:val="32"/>
          <w:szCs w:val="32"/>
        </w:rPr>
        <w:t>一、指导思想</w:t>
      </w:r>
    </w:p>
    <w:p w:rsidR="004839DF" w:rsidRPr="00F32CDF" w:rsidRDefault="004839DF" w:rsidP="004839DF">
      <w:pPr>
        <w:widowControl/>
        <w:spacing w:line="586" w:lineRule="exact"/>
        <w:ind w:firstLineChars="200" w:firstLine="616"/>
        <w:rPr>
          <w:rFonts w:ascii="仿宋_GB2312" w:eastAsia="仿宋_GB2312" w:hAnsi="仿宋" w:cs="仿宋"/>
          <w:color w:val="000000"/>
          <w:spacing w:val="-6"/>
          <w:sz w:val="32"/>
          <w:szCs w:val="32"/>
        </w:rPr>
      </w:pPr>
      <w:r w:rsidRPr="00F32CDF">
        <w:rPr>
          <w:rFonts w:ascii="仿宋_GB2312" w:eastAsia="仿宋_GB2312" w:hAnsi="仿宋" w:cs="仿宋" w:hint="eastAsia"/>
          <w:color w:val="000000"/>
          <w:spacing w:val="-6"/>
          <w:sz w:val="32"/>
          <w:szCs w:val="32"/>
        </w:rPr>
        <w:t>以习近平生态文明思想为指导，牢固树立绿色发展理念，立足乡村振兴战略，坚持“因地制宜、农用优先、就地就近、政府引导、科技支撑、多元利用、市场运作”的原则，以产业提升为方向，以提高秸秆综合利用率、促进秸秆全量利用为目标，以技术创新为动力，以制度创设为保障，</w:t>
      </w:r>
      <w:r w:rsidRPr="004B4B43">
        <w:rPr>
          <w:rFonts w:ascii="仿宋_GB2312" w:eastAsia="仿宋_GB2312" w:hAnsi="仿宋" w:cs="仿宋" w:hint="eastAsia"/>
          <w:color w:val="000000"/>
          <w:spacing w:val="-6"/>
          <w:sz w:val="32"/>
          <w:szCs w:val="32"/>
        </w:rPr>
        <w:t>秸秆农膜等废弃物资源化利用一体化推进，</w:t>
      </w:r>
      <w:r w:rsidRPr="00F32CDF">
        <w:rPr>
          <w:rFonts w:ascii="仿宋_GB2312" w:eastAsia="仿宋_GB2312" w:hAnsi="仿宋" w:cs="仿宋" w:hint="eastAsia"/>
          <w:color w:val="000000"/>
          <w:spacing w:val="-6"/>
          <w:sz w:val="32"/>
          <w:szCs w:val="32"/>
        </w:rPr>
        <w:t>完善秸秆收储运体系，扶持培育一批秸秆还田、收储运和加工利用的市场化主体，形成一批可复制、可推广、可持续运行的秸秆综合利用模式，构建高质高效的长效利用机制和产业发展格局。</w:t>
      </w:r>
    </w:p>
    <w:p w:rsidR="004839DF" w:rsidRDefault="004839DF" w:rsidP="004839DF">
      <w:pPr>
        <w:spacing w:line="586"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二、工作目标及基本原则</w:t>
      </w:r>
    </w:p>
    <w:p w:rsidR="004839DF" w:rsidRDefault="004839DF" w:rsidP="004839DF">
      <w:pPr>
        <w:widowControl/>
        <w:spacing w:line="586"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2021年,秸秆综合利用重点县秸秆综合利用率要达到90%以</w:t>
      </w:r>
    </w:p>
    <w:p w:rsidR="004839DF" w:rsidRDefault="004839DF" w:rsidP="004839DF">
      <w:pPr>
        <w:widowControl/>
        <w:spacing w:line="586" w:lineRule="exact"/>
        <w:rPr>
          <w:rFonts w:ascii="仿宋_GB2312" w:eastAsia="仿宋_GB2312" w:hAnsi="仿宋" w:cs="仿宋"/>
          <w:color w:val="000000"/>
          <w:sz w:val="32"/>
          <w:szCs w:val="32"/>
        </w:rPr>
      </w:pPr>
      <w:r>
        <w:rPr>
          <w:rFonts w:ascii="仿宋_GB2312" w:eastAsia="仿宋_GB2312" w:hAnsi="仿宋" w:cs="仿宋" w:hint="eastAsia"/>
          <w:sz w:val="32"/>
          <w:szCs w:val="32"/>
        </w:rPr>
        <w:lastRenderedPageBreak/>
        <w:t>上或比上年</w:t>
      </w:r>
      <w:r>
        <w:rPr>
          <w:rFonts w:ascii="仿宋_GB2312" w:eastAsia="仿宋_GB2312" w:hAnsi="仿宋" w:cs="仿宋" w:hint="eastAsia"/>
          <w:color w:val="000000"/>
          <w:sz w:val="32"/>
          <w:szCs w:val="32"/>
        </w:rPr>
        <w:t>提高</w:t>
      </w:r>
      <w:r>
        <w:rPr>
          <w:rFonts w:ascii="仿宋_GB2312" w:eastAsia="仿宋_GB2312" w:hAnsi="仿宋" w:cs="仿宋" w:hint="eastAsia"/>
          <w:sz w:val="32"/>
          <w:szCs w:val="32"/>
        </w:rPr>
        <w:t>5个百分点，</w:t>
      </w:r>
      <w:r>
        <w:rPr>
          <w:rFonts w:ascii="仿宋_GB2312" w:eastAsia="仿宋_GB2312" w:hAnsi="仿宋" w:cs="仿宋" w:hint="eastAsia"/>
          <w:color w:val="000000"/>
          <w:sz w:val="32"/>
          <w:szCs w:val="32"/>
        </w:rPr>
        <w:t>秸秆还田质量不断提高,秸秆利用效益不断提升，全面杜绝露天焚烧，建立秸秆综合利用长效机制，形成秸秆综合利用主推技术和县域秸秆综合利用模式，带动全省秸秆综合利用率稳步提升。</w:t>
      </w:r>
    </w:p>
    <w:p w:rsidR="004839DF" w:rsidRPr="004B4B43" w:rsidRDefault="004839DF" w:rsidP="004839DF">
      <w:pPr>
        <w:widowControl/>
        <w:spacing w:line="596" w:lineRule="exact"/>
        <w:ind w:firstLineChars="200" w:firstLine="640"/>
        <w:rPr>
          <w:rFonts w:ascii="仿宋_GB2312" w:eastAsia="仿宋_GB2312" w:hAnsi="仿宋" w:cs="仿宋"/>
          <w:color w:val="000000"/>
          <w:sz w:val="32"/>
          <w:szCs w:val="32"/>
        </w:rPr>
      </w:pPr>
      <w:r>
        <w:rPr>
          <w:rFonts w:ascii="仿宋_GB2312" w:eastAsia="仿宋_GB2312" w:hAnsi="仿宋" w:cs="仿宋" w:hint="eastAsia"/>
          <w:color w:val="000000"/>
          <w:sz w:val="32"/>
          <w:szCs w:val="32"/>
        </w:rPr>
        <w:t>秸秆产业模式试点县，秸秆实现全域全量利用，</w:t>
      </w:r>
      <w:r>
        <w:rPr>
          <w:rFonts w:ascii="仿宋_GB2312" w:eastAsia="仿宋_GB2312" w:hAnsi="仿宋_GB2312" w:cs="仿宋_GB2312" w:hint="eastAsia"/>
          <w:color w:val="000000"/>
          <w:sz w:val="32"/>
          <w:szCs w:val="32"/>
        </w:rPr>
        <w:t>推动</w:t>
      </w:r>
      <w:r>
        <w:rPr>
          <w:rFonts w:ascii="仿宋_GB2312" w:eastAsia="仿宋_GB2312" w:hAnsi="仿宋_GB2312" w:cs="仿宋_GB2312"/>
          <w:color w:val="000000"/>
          <w:sz w:val="32"/>
          <w:szCs w:val="32"/>
        </w:rPr>
        <w:t>60%</w:t>
      </w:r>
      <w:r>
        <w:rPr>
          <w:rFonts w:ascii="仿宋_GB2312" w:eastAsia="仿宋_GB2312" w:hAnsi="仿宋_GB2312" w:cs="仿宋_GB2312" w:hint="eastAsia"/>
          <w:color w:val="000000"/>
          <w:sz w:val="32"/>
          <w:szCs w:val="32"/>
        </w:rPr>
        <w:t>以上的秸秆实现产业化利用</w:t>
      </w:r>
      <w:r w:rsidRPr="004B4B43">
        <w:rPr>
          <w:rFonts w:ascii="仿宋_GB2312" w:eastAsia="仿宋_GB2312" w:hAnsi="仿宋_GB2312" w:cs="仿宋_GB2312" w:hint="eastAsia"/>
          <w:color w:val="000000"/>
          <w:sz w:val="32"/>
          <w:szCs w:val="32"/>
        </w:rPr>
        <w:t>且能源化利用率达到30%以上</w:t>
      </w:r>
      <w:r w:rsidRPr="004B4B43">
        <w:rPr>
          <w:rFonts w:ascii="仿宋_GB2312" w:eastAsia="仿宋_GB2312" w:hAnsi="仿宋" w:cs="仿宋" w:hint="eastAsia"/>
          <w:color w:val="000000"/>
          <w:sz w:val="32"/>
          <w:szCs w:val="32"/>
        </w:rPr>
        <w:t>。农业生态区域补偿制度改革试点县，建立秸秆、农膜回收利用补偿机制，秸秆实现全域全量利用，农膜回收率达85%以上。秸秆全量利用试点县建立秸秆全域全量利用技术、模式和机制，实现秸秆全域全量利用。</w:t>
      </w:r>
    </w:p>
    <w:p w:rsidR="004839DF" w:rsidRDefault="004839DF" w:rsidP="004839DF">
      <w:pPr>
        <w:widowControl/>
        <w:spacing w:line="596" w:lineRule="exact"/>
        <w:ind w:firstLineChars="200" w:firstLine="643"/>
        <w:rPr>
          <w:rFonts w:ascii="仿宋_GB2312" w:eastAsia="仿宋_GB2312" w:hAnsi="仿宋" w:cs="仿宋"/>
          <w:color w:val="000000"/>
          <w:sz w:val="32"/>
          <w:szCs w:val="32"/>
        </w:rPr>
      </w:pPr>
      <w:r w:rsidRPr="004B4B43">
        <w:rPr>
          <w:rFonts w:ascii="楷体_GB2312" w:eastAsia="楷体_GB2312" w:hAnsi="楷体_GB2312" w:cs="楷体_GB2312" w:hint="eastAsia"/>
          <w:b/>
          <w:bCs/>
          <w:color w:val="000000"/>
          <w:sz w:val="32"/>
          <w:szCs w:val="32"/>
        </w:rPr>
        <w:t>（一）农用优先、多元利用。</w:t>
      </w:r>
      <w:r w:rsidRPr="004B4B43">
        <w:rPr>
          <w:rFonts w:ascii="仿宋_GB2312" w:eastAsia="仿宋_GB2312" w:hAnsi="仿宋" w:cs="仿宋" w:hint="eastAsia"/>
          <w:color w:val="000000"/>
          <w:sz w:val="32"/>
          <w:szCs w:val="32"/>
        </w:rPr>
        <w:t>坚持农用优先，</w:t>
      </w:r>
      <w:r>
        <w:rPr>
          <w:rFonts w:ascii="仿宋_GB2312" w:eastAsia="仿宋_GB2312" w:hAnsi="仿宋" w:cs="仿宋" w:hint="eastAsia"/>
          <w:color w:val="000000"/>
          <w:sz w:val="32"/>
          <w:szCs w:val="32"/>
        </w:rPr>
        <w:t>因地制宜、科学确定秸秆综合利用的结构和方式，突出肥料化、饲料化、燃料化利用，提高秸秆综合利用的经济效益。</w:t>
      </w:r>
    </w:p>
    <w:p w:rsidR="004839DF" w:rsidRDefault="004839DF" w:rsidP="004839DF">
      <w:pPr>
        <w:widowControl/>
        <w:spacing w:line="596" w:lineRule="exact"/>
        <w:ind w:firstLineChars="200" w:firstLine="643"/>
        <w:rPr>
          <w:rFonts w:ascii="仿宋_GB2312" w:eastAsia="仿宋_GB2312" w:hAnsi="仿宋" w:cs="仿宋"/>
          <w:color w:val="000000"/>
          <w:sz w:val="32"/>
          <w:szCs w:val="32"/>
        </w:rPr>
      </w:pPr>
      <w:r>
        <w:rPr>
          <w:rFonts w:ascii="楷体_GB2312" w:eastAsia="楷体_GB2312" w:hAnsi="楷体_GB2312" w:cs="楷体_GB2312" w:hint="eastAsia"/>
          <w:b/>
          <w:bCs/>
          <w:color w:val="000000"/>
          <w:sz w:val="32"/>
          <w:szCs w:val="32"/>
        </w:rPr>
        <w:t>（二）集中连片、整县推进。</w:t>
      </w:r>
      <w:r>
        <w:rPr>
          <w:rFonts w:ascii="仿宋_GB2312" w:eastAsia="仿宋_GB2312" w:hAnsi="仿宋" w:cs="仿宋" w:hint="eastAsia"/>
          <w:color w:val="000000"/>
          <w:sz w:val="32"/>
          <w:szCs w:val="32"/>
        </w:rPr>
        <w:t>整县推进秸秆综合利用,</w:t>
      </w:r>
      <w:r w:rsidRPr="004B4B43">
        <w:rPr>
          <w:rFonts w:ascii="仿宋_GB2312" w:eastAsia="仿宋_GB2312" w:hAnsi="仿宋" w:cs="仿宋" w:hint="eastAsia"/>
          <w:color w:val="000000"/>
          <w:sz w:val="32"/>
          <w:szCs w:val="32"/>
        </w:rPr>
        <w:t>形成政策集聚效应</w:t>
      </w:r>
      <w:r>
        <w:rPr>
          <w:rFonts w:ascii="仿宋_GB2312" w:eastAsia="仿宋_GB2312" w:hAnsi="仿宋" w:cs="仿宋" w:hint="eastAsia"/>
          <w:color w:val="000000"/>
          <w:sz w:val="32"/>
          <w:szCs w:val="32"/>
        </w:rPr>
        <w:t>，示范推广秸秆综合利用技术，带动提升区域秸秆综合利用水平。</w:t>
      </w:r>
    </w:p>
    <w:p w:rsidR="004839DF" w:rsidRDefault="004839DF" w:rsidP="004839DF">
      <w:pPr>
        <w:widowControl/>
        <w:spacing w:line="596" w:lineRule="exact"/>
        <w:ind w:firstLineChars="200" w:firstLine="643"/>
        <w:rPr>
          <w:rFonts w:ascii="仿宋_GB2312" w:eastAsia="仿宋_GB2312" w:hAnsi="仿宋" w:cs="仿宋"/>
          <w:color w:val="000000"/>
          <w:sz w:val="32"/>
          <w:szCs w:val="32"/>
        </w:rPr>
      </w:pPr>
      <w:r>
        <w:rPr>
          <w:rFonts w:ascii="楷体_GB2312" w:eastAsia="楷体_GB2312" w:hAnsi="楷体_GB2312" w:cs="楷体_GB2312" w:hint="eastAsia"/>
          <w:b/>
          <w:bCs/>
          <w:color w:val="000000"/>
          <w:sz w:val="32"/>
          <w:szCs w:val="32"/>
        </w:rPr>
        <w:t>（三）统筹推动、一体推进。</w:t>
      </w:r>
      <w:r>
        <w:rPr>
          <w:rFonts w:ascii="仿宋_GB2312" w:eastAsia="仿宋_GB2312" w:hAnsi="仿宋" w:cs="仿宋" w:hint="eastAsia"/>
          <w:color w:val="000000"/>
          <w:sz w:val="32"/>
          <w:szCs w:val="32"/>
        </w:rPr>
        <w:t>将秸秆综合利用和农膜回收利用工作统筹推动，在做好农膜回收工作的基础上，开展秸秆综合利用，积极推广一膜多用、适时揭膜、膜侧种植、全生物降解地膜替代等有利于农膜回收的农艺技术，筛选引进地膜回收机械，破解高茬作物农膜秸秆残渣分离难题，促进农业清洁生产。</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楷体_GB2312" w:eastAsia="楷体_GB2312" w:hAnsi="楷体_GB2312" w:cs="楷体_GB2312" w:hint="eastAsia"/>
          <w:b/>
          <w:bCs/>
          <w:color w:val="000000"/>
          <w:sz w:val="32"/>
          <w:szCs w:val="32"/>
        </w:rPr>
        <w:lastRenderedPageBreak/>
        <w:t>（四）政策引导、市场运作。</w:t>
      </w:r>
      <w:r>
        <w:rPr>
          <w:rFonts w:ascii="仿宋_GB2312" w:eastAsia="仿宋_GB2312" w:hAnsi="仿宋" w:cs="仿宋" w:hint="eastAsia"/>
          <w:color w:val="000000"/>
          <w:sz w:val="32"/>
          <w:szCs w:val="32"/>
        </w:rPr>
        <w:t>通过</w:t>
      </w:r>
      <w:r w:rsidRPr="004B4B43">
        <w:rPr>
          <w:rFonts w:ascii="仿宋_GB2312" w:eastAsia="仿宋_GB2312" w:hAnsi="仿宋" w:cs="仿宋" w:hint="eastAsia"/>
          <w:color w:val="000000"/>
          <w:sz w:val="32"/>
          <w:szCs w:val="32"/>
        </w:rPr>
        <w:t>强化政策引导，培育产业环境，</w:t>
      </w:r>
      <w:r>
        <w:rPr>
          <w:rFonts w:ascii="仿宋_GB2312" w:eastAsia="仿宋_GB2312" w:hAnsi="仿宋" w:cs="仿宋" w:hint="eastAsia"/>
          <w:color w:val="000000"/>
          <w:sz w:val="32"/>
          <w:szCs w:val="32"/>
        </w:rPr>
        <w:t>激发秸秆还田、离田、加工利用等环节市场主体活力，打通利益链，形成产业链，调动全社会参与积极性，实现多方共赢。</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楷体_GB2312" w:eastAsia="楷体_GB2312" w:hAnsi="楷体_GB2312" w:cs="楷体_GB2312" w:hint="eastAsia"/>
          <w:b/>
          <w:bCs/>
          <w:color w:val="000000"/>
          <w:sz w:val="32"/>
          <w:szCs w:val="32"/>
        </w:rPr>
        <w:t>（五）提升能力、长效运行。</w:t>
      </w:r>
      <w:r>
        <w:rPr>
          <w:rFonts w:ascii="仿宋_GB2312" w:eastAsia="仿宋_GB2312" w:hAnsi="仿宋" w:cs="仿宋" w:hint="eastAsia"/>
          <w:color w:val="000000"/>
          <w:sz w:val="32"/>
          <w:szCs w:val="32"/>
        </w:rPr>
        <w:t>围绕秸秆收储运和综合利用能力提升，完善社会化服务体系，支持各类长效性的秸秆收储、加工、利用项目建设，构建秸秆综合利用长效机制。</w:t>
      </w:r>
    </w:p>
    <w:p w:rsidR="004839DF" w:rsidRDefault="004839DF" w:rsidP="004839DF">
      <w:pPr>
        <w:spacing w:line="586"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三、项目实施区域</w:t>
      </w:r>
    </w:p>
    <w:p w:rsidR="004839DF" w:rsidRDefault="004839DF" w:rsidP="004839DF">
      <w:pPr>
        <w:widowControl/>
        <w:spacing w:line="586"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按照“县级自愿申报、市级遴选推荐、省级评审确定”程序，确定潞城区、浑源县、河津市、曲沃县、陵川县、阳城县、昔阳县、灵石县、清徐县、五寨县、岢岚县、岚县、兴县、怀仁市、山阴县等15个县（市、区）为2021年秸秆综合利用重点县，实施整县推进秸秆综合利用项目。其中，</w:t>
      </w:r>
      <w:r w:rsidRPr="004B4B43">
        <w:rPr>
          <w:rFonts w:ascii="仿宋_GB2312" w:eastAsia="仿宋_GB2312" w:hAnsi="仿宋" w:cs="仿宋" w:hint="eastAsia"/>
          <w:color w:val="000000"/>
          <w:sz w:val="32"/>
          <w:szCs w:val="32"/>
        </w:rPr>
        <w:t>浑源县为产业模式试点县，开展以秸秆能源化利用为重点的产业化发展模式试点。</w:t>
      </w:r>
      <w:r>
        <w:rPr>
          <w:rFonts w:ascii="仿宋_GB2312" w:eastAsia="仿宋_GB2312" w:hAnsi="仿宋" w:cs="仿宋" w:hint="eastAsia"/>
          <w:sz w:val="32"/>
          <w:szCs w:val="32"/>
        </w:rPr>
        <w:t>河津市为农业生态区域补偿制度改革试点县，</w:t>
      </w:r>
      <w:r w:rsidRPr="004B4B43">
        <w:rPr>
          <w:rFonts w:ascii="仿宋_GB2312" w:eastAsia="仿宋_GB2312" w:hAnsi="仿宋" w:cs="仿宋" w:hint="eastAsia"/>
          <w:color w:val="000000"/>
          <w:sz w:val="32"/>
          <w:szCs w:val="32"/>
        </w:rPr>
        <w:t>开展秸秆农膜回收利用补偿制度创设试点</w:t>
      </w:r>
      <w:r>
        <w:rPr>
          <w:rFonts w:ascii="仿宋_GB2312" w:eastAsia="仿宋_GB2312" w:hAnsi="仿宋" w:cs="仿宋" w:hint="eastAsia"/>
          <w:sz w:val="32"/>
          <w:szCs w:val="32"/>
        </w:rPr>
        <w:t>；潞城区为秸秆全量利用试点县，开展秸秆全域全量利用技术、模式、机制试点。</w:t>
      </w:r>
    </w:p>
    <w:p w:rsidR="004839DF" w:rsidRDefault="004839DF" w:rsidP="004839DF">
      <w:pPr>
        <w:spacing w:line="586"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四、项目支持对象、支持环节及</w:t>
      </w:r>
      <w:r w:rsidRPr="004B4B43">
        <w:rPr>
          <w:rFonts w:ascii="黑体" w:eastAsia="黑体" w:hAnsi="黑体" w:cs="黑体" w:hint="eastAsia"/>
          <w:color w:val="000000"/>
          <w:sz w:val="32"/>
          <w:szCs w:val="32"/>
        </w:rPr>
        <w:t>补助标准</w:t>
      </w:r>
    </w:p>
    <w:p w:rsidR="004839DF" w:rsidRDefault="004839DF" w:rsidP="004839DF">
      <w:pPr>
        <w:spacing w:line="586" w:lineRule="exact"/>
        <w:ind w:firstLineChars="200" w:firstLine="643"/>
        <w:rPr>
          <w:rFonts w:ascii="仿宋_GB2312" w:eastAsia="仿宋_GB2312" w:hAnsi="仿宋_GB2312" w:cs="仿宋_GB2312"/>
          <w:color w:val="000000"/>
          <w:sz w:val="32"/>
          <w:szCs w:val="32"/>
        </w:rPr>
      </w:pPr>
      <w:r>
        <w:rPr>
          <w:rFonts w:ascii="楷体_GB2312" w:eastAsia="楷体_GB2312" w:hAnsi="楷体_GB2312" w:cs="楷体_GB2312" w:hint="eastAsia"/>
          <w:b/>
          <w:bCs/>
          <w:color w:val="000000"/>
          <w:sz w:val="32"/>
          <w:szCs w:val="32"/>
        </w:rPr>
        <w:t>（一）支持对象。</w:t>
      </w:r>
      <w:r>
        <w:rPr>
          <w:rFonts w:ascii="仿宋_GB2312" w:eastAsia="仿宋_GB2312" w:hAnsi="仿宋_GB2312" w:cs="仿宋_GB2312" w:hint="eastAsia"/>
          <w:color w:val="000000"/>
          <w:sz w:val="32"/>
          <w:szCs w:val="32"/>
        </w:rPr>
        <w:t>实施秸秆肥料化、饲料化、燃料化、基料化、原料化利用以及从事秸秆专业收储、农机专业服务的企业、农民专业合作社、集体经济组织、社会化服务组织等主体，支持对象要适度集中，避免过于分散。</w:t>
      </w:r>
    </w:p>
    <w:p w:rsidR="004839DF" w:rsidRDefault="004839DF" w:rsidP="004839DF">
      <w:pPr>
        <w:widowControl/>
        <w:spacing w:line="586" w:lineRule="exact"/>
        <w:ind w:firstLineChars="200" w:firstLine="643"/>
        <w:rPr>
          <w:rFonts w:ascii="仿宋_GB2312" w:eastAsia="仿宋_GB2312" w:hAnsi="仿宋_GB2312" w:cs="仿宋_GB2312"/>
          <w:color w:val="000000"/>
          <w:sz w:val="32"/>
          <w:szCs w:val="32"/>
        </w:rPr>
      </w:pPr>
      <w:r>
        <w:rPr>
          <w:rFonts w:ascii="楷体_GB2312" w:eastAsia="楷体_GB2312" w:hAnsi="楷体_GB2312" w:cs="楷体_GB2312" w:hint="eastAsia"/>
          <w:b/>
          <w:bCs/>
          <w:color w:val="000000"/>
          <w:sz w:val="32"/>
          <w:szCs w:val="32"/>
        </w:rPr>
        <w:lastRenderedPageBreak/>
        <w:t>（二）支持环节</w:t>
      </w:r>
      <w:r w:rsidRPr="004B4B43">
        <w:rPr>
          <w:rFonts w:ascii="楷体_GB2312" w:eastAsia="楷体_GB2312" w:hAnsi="楷体_GB2312" w:cs="楷体_GB2312" w:hint="eastAsia"/>
          <w:b/>
          <w:bCs/>
          <w:color w:val="000000"/>
          <w:sz w:val="32"/>
          <w:szCs w:val="32"/>
        </w:rPr>
        <w:t>及补助标准</w:t>
      </w:r>
      <w:r>
        <w:rPr>
          <w:rFonts w:ascii="楷体_GB2312" w:eastAsia="楷体_GB2312" w:hAnsi="楷体_GB2312" w:cs="楷体_GB2312" w:hint="eastAsia"/>
          <w:b/>
          <w:bCs/>
          <w:color w:val="000000"/>
          <w:sz w:val="32"/>
          <w:szCs w:val="32"/>
        </w:rPr>
        <w:t>。</w:t>
      </w:r>
      <w:r>
        <w:rPr>
          <w:rFonts w:ascii="仿宋_GB2312" w:eastAsia="仿宋_GB2312" w:hAnsi="仿宋_GB2312" w:cs="仿宋_GB2312" w:hint="eastAsia"/>
          <w:color w:val="000000"/>
          <w:sz w:val="32"/>
          <w:szCs w:val="32"/>
        </w:rPr>
        <w:t>中央财政补助资金采取“以奖代补”方式，按照“谁利用秸秆、谁实施作业、谁享受补助”“资金与任务相匹配”的原则对秸秆综合利用的实施主体进行适当补助。中央财政补助资金由各项目县根据项目任务科学统筹安排，资金主要用于补助项目县农业生态区域补偿费用、秸秆综合利用项目设施设备费用、收储运站（点）费用、田间作业费用、离田加工利用费用、终端监测设备费用、秸秆资源台账建设、秸秆综合利用宣传培训及示范观摩现场会等费用。</w:t>
      </w:r>
    </w:p>
    <w:p w:rsidR="004839DF" w:rsidRDefault="004839DF" w:rsidP="004839DF">
      <w:pPr>
        <w:spacing w:line="586"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五、重点工作</w:t>
      </w:r>
    </w:p>
    <w:p w:rsidR="004839DF" w:rsidRPr="00F32CDF" w:rsidRDefault="004839DF" w:rsidP="004839DF">
      <w:pPr>
        <w:widowControl/>
        <w:spacing w:line="586" w:lineRule="exact"/>
        <w:ind w:firstLineChars="200" w:firstLine="618"/>
        <w:jc w:val="left"/>
        <w:rPr>
          <w:rFonts w:ascii="仿宋_GB2312" w:eastAsia="仿宋_GB2312" w:hAnsi="仿宋_GB2312" w:cs="仿宋_GB2312"/>
          <w:color w:val="000000"/>
          <w:spacing w:val="-6"/>
          <w:sz w:val="32"/>
          <w:szCs w:val="32"/>
        </w:rPr>
      </w:pPr>
      <w:r w:rsidRPr="00F32CDF">
        <w:rPr>
          <w:rFonts w:ascii="楷体_GB2312" w:eastAsia="楷体_GB2312" w:hAnsi="楷体_GB2312" w:cs="楷体_GB2312" w:hint="eastAsia"/>
          <w:b/>
          <w:bCs/>
          <w:color w:val="000000"/>
          <w:spacing w:val="-6"/>
          <w:sz w:val="32"/>
          <w:szCs w:val="32"/>
        </w:rPr>
        <w:t>（一）开展秸秆全量利用试点和产业模式试点。</w:t>
      </w:r>
      <w:r w:rsidRPr="00F32CDF">
        <w:rPr>
          <w:rFonts w:ascii="仿宋_GB2312" w:eastAsia="仿宋_GB2312" w:hAnsi="仿宋_GB2312" w:cs="仿宋_GB2312" w:hint="eastAsia"/>
          <w:color w:val="000000"/>
          <w:spacing w:val="-6"/>
          <w:sz w:val="32"/>
          <w:szCs w:val="32"/>
        </w:rPr>
        <w:t>在潞城区开展秸秆全量利用试点，以全域全量利用为目标，根据县域秸秆产生量及地域分布，统筹规划产业发展布局，科学确定秸秆还田、离田利用比例和秸秆离田“五化”利用比例，优选秸秆综合利用技术，合理布局秸秆产业和收储运站点，扶持社会化服务组织和市场化利用主体发展，完善秸秆禁烧等全量利用保障政策，推动秸秆全域全量利用。在浑源县大力推动</w:t>
      </w:r>
      <w:r w:rsidRPr="004B4B43">
        <w:rPr>
          <w:rFonts w:ascii="仿宋_GB2312" w:eastAsia="仿宋_GB2312" w:hAnsi="仿宋_GB2312" w:cs="仿宋_GB2312" w:hint="eastAsia"/>
          <w:color w:val="000000"/>
          <w:spacing w:val="-6"/>
          <w:sz w:val="32"/>
          <w:szCs w:val="32"/>
        </w:rPr>
        <w:t>以</w:t>
      </w:r>
      <w:r w:rsidRPr="00F32CDF">
        <w:rPr>
          <w:rFonts w:ascii="仿宋_GB2312" w:eastAsia="仿宋_GB2312" w:hAnsi="仿宋_GB2312" w:cs="仿宋_GB2312" w:hint="eastAsia"/>
          <w:color w:val="000000"/>
          <w:spacing w:val="-6"/>
          <w:sz w:val="32"/>
          <w:szCs w:val="32"/>
        </w:rPr>
        <w:t>秸秆</w:t>
      </w:r>
      <w:r w:rsidRPr="004B4B43">
        <w:rPr>
          <w:rFonts w:ascii="仿宋_GB2312" w:eastAsia="仿宋_GB2312" w:hAnsi="仿宋_GB2312" w:cs="仿宋_GB2312" w:hint="eastAsia"/>
          <w:color w:val="000000"/>
          <w:spacing w:val="-6"/>
          <w:sz w:val="32"/>
          <w:szCs w:val="32"/>
        </w:rPr>
        <w:t>能源化为重点的</w:t>
      </w:r>
      <w:r w:rsidRPr="00F32CDF">
        <w:rPr>
          <w:rFonts w:ascii="仿宋_GB2312" w:eastAsia="仿宋_GB2312" w:hAnsi="仿宋_GB2312" w:cs="仿宋_GB2312" w:hint="eastAsia"/>
          <w:color w:val="000000"/>
          <w:spacing w:val="-6"/>
          <w:sz w:val="32"/>
          <w:szCs w:val="32"/>
        </w:rPr>
        <w:t>产业化利用，打破秸秆离田利用障碍瓶颈，拓展延伸产业链条，支持收储运体系建设和市场化主体壮大发展，构建可持续运行的产业发展模式。</w:t>
      </w:r>
    </w:p>
    <w:p w:rsidR="004839DF" w:rsidRDefault="004839DF" w:rsidP="004839DF">
      <w:pPr>
        <w:widowControl/>
        <w:spacing w:line="586" w:lineRule="exact"/>
        <w:ind w:firstLineChars="200" w:firstLine="643"/>
        <w:rPr>
          <w:rFonts w:ascii="仿宋_GB2312" w:eastAsia="仿宋_GB2312" w:hAnsi="仿宋_GB2312" w:cs="仿宋_GB2312"/>
          <w:color w:val="000000"/>
          <w:sz w:val="32"/>
          <w:szCs w:val="32"/>
        </w:rPr>
      </w:pPr>
      <w:r>
        <w:rPr>
          <w:rFonts w:ascii="楷体_GB2312" w:eastAsia="楷体_GB2312" w:hAnsi="楷体_GB2312" w:cs="楷体_GB2312" w:hint="eastAsia"/>
          <w:b/>
          <w:bCs/>
          <w:color w:val="000000"/>
          <w:sz w:val="32"/>
          <w:szCs w:val="32"/>
        </w:rPr>
        <w:t>（二）开展农业生态区域补偿制度改革试点。</w:t>
      </w:r>
      <w:r>
        <w:rPr>
          <w:rFonts w:ascii="仿宋_GB2312" w:eastAsia="仿宋_GB2312" w:hAnsi="仿宋_GB2312" w:cs="仿宋_GB2312" w:hint="eastAsia"/>
          <w:color w:val="000000"/>
          <w:sz w:val="32"/>
          <w:szCs w:val="32"/>
        </w:rPr>
        <w:t>在河津市</w:t>
      </w:r>
      <w:r w:rsidRPr="004B4B43">
        <w:rPr>
          <w:rFonts w:ascii="仿宋_GB2312" w:eastAsia="仿宋_GB2312" w:hAnsi="仿宋_GB2312" w:cs="仿宋_GB2312" w:hint="eastAsia"/>
          <w:color w:val="000000"/>
          <w:sz w:val="32"/>
          <w:szCs w:val="32"/>
        </w:rPr>
        <w:t>探索建立</w:t>
      </w:r>
      <w:r>
        <w:rPr>
          <w:rFonts w:ascii="仿宋_GB2312" w:eastAsia="仿宋_GB2312" w:hAnsi="仿宋_GB2312" w:cs="仿宋_GB2312" w:hint="eastAsia"/>
          <w:color w:val="000000"/>
          <w:sz w:val="32"/>
          <w:szCs w:val="32"/>
        </w:rPr>
        <w:t>以绿色生态为导向的农业生态区域补偿制度，开展秸秆农膜回收利用区域补偿制度试点，建立农业支持保护补贴和秸秆农膜回收利用效果挂钩机制，围绕主要农作物秸秆还田、离田利用和</w:t>
      </w:r>
      <w:r>
        <w:rPr>
          <w:rFonts w:ascii="仿宋_GB2312" w:eastAsia="仿宋_GB2312" w:hAnsi="仿宋_GB2312" w:cs="仿宋_GB2312" w:hint="eastAsia"/>
          <w:color w:val="000000"/>
          <w:sz w:val="32"/>
          <w:szCs w:val="32"/>
        </w:rPr>
        <w:lastRenderedPageBreak/>
        <w:t>农膜回收及利用等关键环节，建立区域生态补偿机制，对实施秸秆利用和农膜回收及利用的企业、合作社、农户等建立考核机制，围绕补偿制度落地建立工作推动、政策扶持、技术服务的保障机制，围绕政策实施效果建立评估机制，促进秸秆农膜回收利用一体化推进目标实现。</w:t>
      </w:r>
    </w:p>
    <w:p w:rsidR="004839DF" w:rsidRDefault="004839DF" w:rsidP="004839DF">
      <w:pPr>
        <w:pStyle w:val="a6"/>
        <w:widowControl/>
        <w:spacing w:beforeAutospacing="0" w:afterAutospacing="0" w:line="586" w:lineRule="exact"/>
        <w:ind w:firstLineChars="200" w:firstLine="643"/>
        <w:jc w:val="both"/>
        <w:rPr>
          <w:rFonts w:ascii="仿宋_GB2312" w:eastAsia="仿宋_GB2312" w:hAnsi="仿宋_GB2312" w:cs="仿宋_GB2312"/>
          <w:sz w:val="32"/>
          <w:szCs w:val="32"/>
        </w:rPr>
      </w:pPr>
      <w:r>
        <w:rPr>
          <w:rFonts w:ascii="楷体_GB2312" w:eastAsia="楷体_GB2312" w:hAnsi="楷体_GB2312" w:cs="楷体_GB2312" w:hint="eastAsia"/>
          <w:b/>
          <w:bCs/>
          <w:color w:val="000000"/>
          <w:sz w:val="32"/>
          <w:szCs w:val="32"/>
        </w:rPr>
        <w:t>（三）提升秸秆还田质量水平。</w:t>
      </w:r>
      <w:r>
        <w:rPr>
          <w:rFonts w:ascii="仿宋_GB2312" w:eastAsia="仿宋_GB2312" w:hAnsi="仿宋" w:cs="仿宋" w:hint="eastAsia"/>
          <w:color w:val="000000"/>
          <w:sz w:val="32"/>
          <w:szCs w:val="32"/>
        </w:rPr>
        <w:t>以玉米、小麦等农作物秸秆直接还田为重点，开展秸秆还田技术示范，制定秸秆还田技术标准和作业质量规范，</w:t>
      </w:r>
      <w:r>
        <w:rPr>
          <w:rFonts w:ascii="仿宋_GB2312" w:eastAsia="仿宋_GB2312" w:hAnsi="仿宋_GB2312" w:cs="仿宋_GB2312" w:hint="eastAsia"/>
          <w:sz w:val="32"/>
          <w:szCs w:val="32"/>
        </w:rPr>
        <w:t>优化机具配置，推广使用新型高效秸秆粉碎机、深翻机、旋耕机等新型农机具。大力</w:t>
      </w:r>
      <w:r>
        <w:rPr>
          <w:rFonts w:ascii="仿宋_GB2312" w:eastAsia="仿宋_GB2312" w:hAnsi="仿宋" w:cs="仿宋" w:hint="eastAsia"/>
          <w:color w:val="000000"/>
          <w:sz w:val="32"/>
          <w:szCs w:val="32"/>
        </w:rPr>
        <w:t>推广秸秆粉碎旋耕还田、粉碎深翻还田等机械化还田技术，因地制宜推广秸秆覆盖少免耕、秸秆异地覆盖、秸秆堆沤腐熟等还田技术，结合农田残膜回收、深松整地、病虫害综合防治等农艺措施，提高直接还田质量。支持、鼓励作业农机安装机载物联网终端系统和建设农机作业物联网县级管理平台。</w:t>
      </w:r>
    </w:p>
    <w:p w:rsidR="004839DF" w:rsidRPr="00F32CDF" w:rsidRDefault="004839DF" w:rsidP="004839DF">
      <w:pPr>
        <w:spacing w:line="586" w:lineRule="exact"/>
        <w:ind w:firstLineChars="200" w:firstLine="618"/>
        <w:rPr>
          <w:rFonts w:ascii="仿宋_GB2312" w:eastAsia="仿宋_GB2312" w:hAnsi="仿宋" w:cs="仿宋"/>
          <w:color w:val="000000"/>
          <w:spacing w:val="-6"/>
          <w:sz w:val="32"/>
          <w:szCs w:val="32"/>
        </w:rPr>
      </w:pPr>
      <w:r w:rsidRPr="00F32CDF">
        <w:rPr>
          <w:rFonts w:ascii="楷体_GB2312" w:eastAsia="楷体_GB2312" w:hAnsi="楷体_GB2312" w:cs="楷体_GB2312" w:hint="eastAsia"/>
          <w:b/>
          <w:bCs/>
          <w:color w:val="000000"/>
          <w:spacing w:val="-6"/>
          <w:sz w:val="32"/>
          <w:szCs w:val="32"/>
        </w:rPr>
        <w:t>（四）推动秸秆离田高值利用。</w:t>
      </w:r>
      <w:r w:rsidRPr="00F32CDF">
        <w:rPr>
          <w:rFonts w:ascii="仿宋_GB2312" w:eastAsia="仿宋_GB2312" w:hAnsi="仿宋" w:cs="仿宋" w:hint="eastAsia"/>
          <w:color w:val="000000"/>
          <w:spacing w:val="-6"/>
          <w:sz w:val="32"/>
          <w:szCs w:val="32"/>
        </w:rPr>
        <w:t>围绕秸秆离田利用，支持一批秸秆市场化利用主体发展，推进秸秆综合利用产业结构优化和提质增效。对以秸秆为主要原料的有机肥生产、饲料加工、生物质能发电、生物质清洁供暖、秸秆沼气、秸秆固化成型燃料、秸秆食用菌种植、秸秆清洁制浆、秸秆工业原料加工等饲料化、肥料化、燃料化、基料化、原料化利用的秸秆综合利用专用机械设备给予购置补贴，并按照秸秆离田利用量给予适当秸秆离田利用补助。</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仿宋_GB2312" w:eastAsia="仿宋_GB2312" w:hAnsi="仿宋" w:cs="仿宋" w:hint="eastAsia"/>
          <w:b/>
          <w:bCs/>
          <w:color w:val="000000"/>
          <w:sz w:val="32"/>
          <w:szCs w:val="32"/>
        </w:rPr>
        <w:t>一是推进离田肥料化利用。</w:t>
      </w:r>
      <w:r>
        <w:rPr>
          <w:rFonts w:ascii="仿宋_GB2312" w:eastAsia="仿宋_GB2312" w:hAnsi="仿宋" w:cs="仿宋" w:hint="eastAsia"/>
          <w:color w:val="000000"/>
          <w:sz w:val="32"/>
          <w:szCs w:val="32"/>
        </w:rPr>
        <w:t>结合畜禽粪污处理和资源化利用</w:t>
      </w:r>
      <w:r>
        <w:rPr>
          <w:rFonts w:ascii="仿宋_GB2312" w:eastAsia="仿宋_GB2312" w:hAnsi="仿宋" w:cs="仿宋" w:hint="eastAsia"/>
          <w:color w:val="000000"/>
          <w:sz w:val="32"/>
          <w:szCs w:val="32"/>
        </w:rPr>
        <w:lastRenderedPageBreak/>
        <w:t>行动,鼓励和支持大型畜禽场或有机肥生产企业购置秸秆处理和生产有机肥装备,建设秸秆粪污有机肥生产线，扩大秸秆生产有机肥消纳量。</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仿宋_GB2312" w:eastAsia="仿宋_GB2312" w:hAnsi="仿宋" w:cs="仿宋" w:hint="eastAsia"/>
          <w:b/>
          <w:bCs/>
          <w:color w:val="000000"/>
          <w:sz w:val="32"/>
          <w:szCs w:val="32"/>
        </w:rPr>
        <w:t>二是推进饲料化利用。</w:t>
      </w:r>
      <w:r>
        <w:rPr>
          <w:rFonts w:ascii="仿宋_GB2312" w:eastAsia="仿宋_GB2312" w:hAnsi="仿宋" w:cs="仿宋" w:hint="eastAsia"/>
          <w:color w:val="000000"/>
          <w:sz w:val="32"/>
          <w:szCs w:val="32"/>
        </w:rPr>
        <w:t>积极推进“粮改饲”，发展种植青贮玉米品种，推广秸秆青（黄）贮、压块、膨化、揉丝等秸秆饲料加工技术，鼓励畜禽养殖场（户）、饲料加工企业利用秸秆生产优质饲料，提升秸秆饲料供给能力。</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仿宋_GB2312" w:eastAsia="仿宋_GB2312" w:hAnsi="仿宋" w:cs="仿宋" w:hint="eastAsia"/>
          <w:b/>
          <w:bCs/>
          <w:color w:val="000000"/>
          <w:sz w:val="32"/>
          <w:szCs w:val="32"/>
        </w:rPr>
        <w:t>三是推进燃料化利用。</w:t>
      </w:r>
      <w:r>
        <w:rPr>
          <w:rFonts w:ascii="仿宋_GB2312" w:eastAsia="仿宋_GB2312" w:hAnsi="仿宋" w:cs="仿宋" w:hint="eastAsia"/>
          <w:color w:val="000000"/>
          <w:sz w:val="32"/>
          <w:szCs w:val="32"/>
        </w:rPr>
        <w:t>围绕农村地区生物质清洁取暖，重点在能源革命试点综合改革区域或适宜区域打造一批生物质能源综合利用项目，扶持以秸秆为主要原料的打捆直燃集中供暖、沼气工程、热解炭气联产、固化成型燃料加工和生物质发电，因地制宜推广生物质清洁取暖炉具。</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仿宋_GB2312" w:eastAsia="仿宋_GB2312" w:hAnsi="仿宋" w:cs="仿宋" w:hint="eastAsia"/>
          <w:b/>
          <w:bCs/>
          <w:color w:val="000000"/>
          <w:sz w:val="32"/>
          <w:szCs w:val="32"/>
        </w:rPr>
        <w:t>四是推进基料化和原料化利用。</w:t>
      </w:r>
      <w:r>
        <w:rPr>
          <w:rFonts w:ascii="仿宋_GB2312" w:eastAsia="仿宋_GB2312" w:hAnsi="仿宋" w:cs="仿宋" w:hint="eastAsia"/>
          <w:color w:val="000000"/>
          <w:sz w:val="32"/>
          <w:szCs w:val="32"/>
        </w:rPr>
        <w:t>大力发展以玉米、小麦秸秆为主要原料的食用菌规模化生产和育苗基质生产，扩大秸秆基料化利用规模。鼓励发展以秸秆为主要原料的造纸、新型建材、复合材料、降解膜、餐具等加工产业，延伸秸秆利用产业链条，提高秸秆高值化、产业化利用水平。</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楷体_GB2312" w:eastAsia="楷体_GB2312" w:hAnsi="楷体_GB2312" w:cs="楷体_GB2312" w:hint="eastAsia"/>
          <w:b/>
          <w:bCs/>
          <w:color w:val="000000"/>
          <w:sz w:val="32"/>
          <w:szCs w:val="32"/>
        </w:rPr>
        <w:t>（五）完善收储运体系建设。</w:t>
      </w:r>
      <w:r>
        <w:rPr>
          <w:rFonts w:ascii="仿宋_GB2312" w:eastAsia="仿宋_GB2312" w:hAnsi="仿宋" w:cs="仿宋" w:hint="eastAsia"/>
          <w:color w:val="000000"/>
          <w:sz w:val="32"/>
          <w:szCs w:val="32"/>
        </w:rPr>
        <w:t>积极培育秸秆收储运社会化服务组织，依托规模化秸秆综合利用企业（合作社）和专业从事秸秆收储企业（合作社、农民经纪人），建立健全县域秸秆收储运体系，推动形成商品化秸秆收储和供应能力，实现秸秆收储运的专业化和市场化。根据秸秆可收集量和运输半径，因地制宜合理</w:t>
      </w:r>
      <w:r>
        <w:rPr>
          <w:rFonts w:ascii="仿宋_GB2312" w:eastAsia="仿宋_GB2312" w:hAnsi="仿宋" w:cs="仿宋" w:hint="eastAsia"/>
          <w:color w:val="000000"/>
          <w:sz w:val="32"/>
          <w:szCs w:val="32"/>
        </w:rPr>
        <w:lastRenderedPageBreak/>
        <w:t>布局、建设标准化秸秆收集储运（站）点。对建设秸秆收储运体系必要的设施、设备进行补贴并给予适当离田收储补助，但不能和离田利用补助重复。</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楷体_GB2312" w:eastAsia="楷体_GB2312" w:hAnsi="楷体_GB2312" w:cs="楷体_GB2312" w:hint="eastAsia"/>
          <w:b/>
          <w:bCs/>
          <w:color w:val="000000"/>
          <w:sz w:val="32"/>
          <w:szCs w:val="32"/>
        </w:rPr>
        <w:t>（六）加强技术集成创新。</w:t>
      </w:r>
      <w:r>
        <w:rPr>
          <w:rFonts w:ascii="仿宋_GB2312" w:eastAsia="仿宋_GB2312" w:hAnsi="仿宋" w:cs="仿宋" w:hint="eastAsia"/>
          <w:color w:val="000000"/>
          <w:sz w:val="32"/>
          <w:szCs w:val="32"/>
        </w:rPr>
        <w:t>各重点县要和各级技术专家组，建立合作机制，针对区域特点和区域优势，以玉米、小麦秸秆为重点，围绕秸秆“五化”利用和农田残膜回收相关技术、工艺和装备，开展有针对性的技术研发和技术指导。各重点县可依托科研院所作为技术支撑单位，协助总结提炼县域秸秆综合利用模式，形成县域秸秆综合利用技术清单。</w:t>
      </w:r>
    </w:p>
    <w:p w:rsidR="004839DF" w:rsidRDefault="004839DF" w:rsidP="004839DF">
      <w:pPr>
        <w:spacing w:line="586" w:lineRule="exact"/>
        <w:ind w:firstLineChars="200" w:firstLine="643"/>
        <w:rPr>
          <w:rFonts w:ascii="仿宋_GB2312" w:eastAsia="仿宋_GB2312" w:hAnsi="仿宋_GB2312" w:cs="仿宋_GB2312"/>
          <w:color w:val="000000"/>
          <w:sz w:val="32"/>
          <w:szCs w:val="32"/>
        </w:rPr>
      </w:pPr>
      <w:r>
        <w:rPr>
          <w:rFonts w:ascii="楷体_GB2312" w:eastAsia="楷体_GB2312" w:hAnsi="楷体_GB2312" w:cs="楷体_GB2312" w:hint="eastAsia"/>
          <w:b/>
          <w:bCs/>
          <w:color w:val="000000"/>
          <w:sz w:val="32"/>
          <w:szCs w:val="32"/>
        </w:rPr>
        <w:t>（七）开展秸秆资源台账建设和农田地膜残留监测。</w:t>
      </w:r>
      <w:r>
        <w:rPr>
          <w:rFonts w:ascii="仿宋_GB2312" w:eastAsia="仿宋_GB2312" w:hAnsi="仿宋_GB2312" w:cs="仿宋_GB2312" w:hint="eastAsia"/>
          <w:color w:val="000000"/>
          <w:sz w:val="32"/>
          <w:szCs w:val="32"/>
        </w:rPr>
        <w:t>全省以县为单元开展常态化、规范化的秸秆资源产生和利用情况调查，全面掌握秸秆综合利用基础数据，为产业发展和生态文明考核提供数据支撑，2021年4月底前完成2020年度秸秆资源台账调查审核上报工作。各重点县必须按照《山西省2020年农田地膜残留监测方案》开展监测工作，建立农田地膜残留监测数据库。</w:t>
      </w:r>
    </w:p>
    <w:p w:rsidR="004839DF" w:rsidRPr="00F32CDF" w:rsidRDefault="004839DF" w:rsidP="004839DF">
      <w:pPr>
        <w:spacing w:line="586" w:lineRule="exact"/>
        <w:ind w:firstLineChars="200" w:firstLine="618"/>
        <w:rPr>
          <w:rFonts w:ascii="仿宋_GB2312" w:eastAsia="仿宋_GB2312" w:hAnsi="仿宋" w:cs="仿宋"/>
          <w:color w:val="000000"/>
          <w:spacing w:val="-6"/>
          <w:sz w:val="32"/>
          <w:szCs w:val="32"/>
        </w:rPr>
      </w:pPr>
      <w:r w:rsidRPr="00F32CDF">
        <w:rPr>
          <w:rFonts w:ascii="楷体_GB2312" w:eastAsia="楷体_GB2312" w:hAnsi="楷体_GB2312" w:cs="楷体_GB2312" w:hint="eastAsia"/>
          <w:b/>
          <w:bCs/>
          <w:spacing w:val="-6"/>
          <w:sz w:val="32"/>
          <w:szCs w:val="32"/>
        </w:rPr>
        <w:t>（八）强化技术培训和宣传引导。</w:t>
      </w:r>
      <w:r w:rsidRPr="00F32CDF">
        <w:rPr>
          <w:rFonts w:ascii="仿宋_GB2312" w:eastAsia="仿宋_GB2312" w:hAnsi="仿宋" w:cs="仿宋" w:hint="eastAsia"/>
          <w:spacing w:val="-6"/>
          <w:sz w:val="32"/>
          <w:szCs w:val="32"/>
        </w:rPr>
        <w:t>采取邀请专家技术指导、</w:t>
      </w:r>
      <w:r w:rsidRPr="00F32CDF">
        <w:rPr>
          <w:rFonts w:ascii="仿宋_GB2312" w:eastAsia="仿宋_GB2312" w:hAnsi="仿宋" w:cs="仿宋" w:hint="eastAsia"/>
          <w:color w:val="000000"/>
          <w:spacing w:val="-6"/>
          <w:sz w:val="32"/>
          <w:szCs w:val="32"/>
        </w:rPr>
        <w:t>举办技术培训班、组织现场示范观摩活动等多种形式，加大秸秆综合利用技术培训和示范推广力度，提高秸秆综合利用专业化水平。充分利用广播电视、报纸、网络、微信自媒体、宣传资料、村务公开栏等载体，开展形式多样、生动活泼、贴近生活的秸杆综合利用和禁烧宣传教育活动，提高农民利用秸秆的自觉性和主动性。</w:t>
      </w:r>
    </w:p>
    <w:p w:rsidR="004839DF" w:rsidRDefault="004839DF" w:rsidP="004839DF">
      <w:pPr>
        <w:spacing w:line="586"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六、有关要求</w:t>
      </w:r>
    </w:p>
    <w:p w:rsidR="004839DF" w:rsidRDefault="004839DF" w:rsidP="004839DF">
      <w:pPr>
        <w:spacing w:line="586" w:lineRule="exact"/>
        <w:ind w:firstLineChars="200" w:firstLine="643"/>
        <w:rPr>
          <w:rFonts w:ascii="仿宋_GB2312" w:eastAsia="仿宋_GB2312" w:hAnsi="仿宋" w:cs="仿宋"/>
          <w:color w:val="000000"/>
          <w:spacing w:val="-4"/>
          <w:sz w:val="32"/>
          <w:szCs w:val="32"/>
        </w:rPr>
      </w:pPr>
      <w:r>
        <w:rPr>
          <w:rFonts w:ascii="楷体_GB2312" w:eastAsia="楷体_GB2312" w:hAnsi="楷体" w:cs="楷体" w:hint="eastAsia"/>
          <w:b/>
          <w:color w:val="000000"/>
          <w:sz w:val="32"/>
          <w:szCs w:val="32"/>
        </w:rPr>
        <w:lastRenderedPageBreak/>
        <w:t>（一）加强组织领导。</w:t>
      </w:r>
      <w:r>
        <w:rPr>
          <w:rFonts w:ascii="仿宋_GB2312" w:eastAsia="仿宋_GB2312" w:hAnsi="仿宋" w:cs="仿宋" w:hint="eastAsia"/>
          <w:color w:val="000000"/>
          <w:spacing w:val="-4"/>
          <w:sz w:val="32"/>
          <w:szCs w:val="32"/>
        </w:rPr>
        <w:t>省农业农村厅成立由厅分管领导任组长，厅有关职能处站负责人为成员的全省秸秆综合利用项目工作推进组，协调推进项目落实。各市、县农业农村局要由分管领导牵头，明确责任部门和专人负责秸秆综合利用项目工作。各重点县要积极落实秸秆综合利用和秸秆禁烧主体责任，成立相应工作机构，落实必要工作经费，相关部门分工负责，形成工作合力，</w:t>
      </w:r>
      <w:r w:rsidRPr="004B4B43">
        <w:rPr>
          <w:rFonts w:ascii="仿宋_GB2312" w:eastAsia="仿宋_GB2312" w:hAnsi="仿宋" w:cs="仿宋" w:hint="eastAsia"/>
          <w:color w:val="000000"/>
          <w:spacing w:val="-4"/>
          <w:sz w:val="32"/>
          <w:szCs w:val="32"/>
        </w:rPr>
        <w:t>建立政</w:t>
      </w:r>
      <w:r>
        <w:rPr>
          <w:rFonts w:ascii="仿宋_GB2312" w:eastAsia="仿宋_GB2312" w:hAnsi="仿宋" w:cs="仿宋" w:hint="eastAsia"/>
          <w:color w:val="000000"/>
          <w:spacing w:val="-4"/>
          <w:sz w:val="32"/>
          <w:szCs w:val="32"/>
        </w:rPr>
        <w:t>府主导、部门联动、市场主体实施、农民参与的工作格局。</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楷体_GB2312" w:eastAsia="楷体_GB2312" w:hAnsi="楷体" w:cs="楷体" w:hint="eastAsia"/>
          <w:b/>
          <w:color w:val="000000"/>
          <w:sz w:val="32"/>
          <w:szCs w:val="32"/>
        </w:rPr>
        <w:t>（二）明确工作职责。</w:t>
      </w:r>
      <w:r>
        <w:rPr>
          <w:rFonts w:ascii="仿宋_GB2312" w:eastAsia="仿宋_GB2312" w:hAnsi="仿宋" w:cs="仿宋" w:hint="eastAsia"/>
          <w:color w:val="000000"/>
          <w:sz w:val="32"/>
          <w:szCs w:val="32"/>
        </w:rPr>
        <w:t>省农业农村厅负责编制省级实施方案，切块下达补助资金，开展项目补助资金绩效评价，</w:t>
      </w:r>
      <w:r w:rsidRPr="004B4B43">
        <w:rPr>
          <w:rFonts w:ascii="仿宋_GB2312" w:eastAsia="仿宋_GB2312" w:hAnsi="仿宋" w:cs="仿宋" w:hint="eastAsia"/>
          <w:color w:val="000000"/>
          <w:sz w:val="32"/>
          <w:szCs w:val="32"/>
        </w:rPr>
        <w:t>做好全省工作总结，</w:t>
      </w:r>
      <w:r>
        <w:rPr>
          <w:rFonts w:ascii="仿宋_GB2312" w:eastAsia="仿宋_GB2312" w:hAnsi="仿宋" w:cs="仿宋" w:hint="eastAsia"/>
          <w:color w:val="000000"/>
          <w:sz w:val="32"/>
          <w:szCs w:val="32"/>
        </w:rPr>
        <w:t>指导市、县实施秸秆综合利用项目</w:t>
      </w:r>
      <w:r>
        <w:rPr>
          <w:rFonts w:ascii="仿宋_GB2312" w:eastAsia="仿宋_GB2312" w:hAnsi="仿宋" w:cs="仿宋" w:hint="eastAsia"/>
          <w:sz w:val="32"/>
          <w:szCs w:val="32"/>
        </w:rPr>
        <w:t>。市农业农村部门负责审批重点县实施方案，指导监督项目实施和资金使用，组织完成项目验收，</w:t>
      </w:r>
      <w:r>
        <w:rPr>
          <w:rFonts w:ascii="仿宋_GB2312" w:eastAsia="仿宋_GB2312" w:hAnsi="仿宋" w:cs="仿宋" w:hint="eastAsia"/>
          <w:color w:val="000000"/>
          <w:sz w:val="32"/>
          <w:szCs w:val="32"/>
        </w:rPr>
        <w:t>配合省级完成绩效评价工作。县农业农村部门负责编制县级项目实施方案，严格程序和资金管理，规范项目管理，加强安全生产，确保按时完成任务</w:t>
      </w:r>
      <w:r w:rsidRPr="004B4B43">
        <w:rPr>
          <w:rFonts w:ascii="仿宋_GB2312" w:eastAsia="仿宋_GB2312" w:hAnsi="仿宋" w:cs="仿宋" w:hint="eastAsia"/>
          <w:color w:val="000000"/>
          <w:sz w:val="32"/>
          <w:szCs w:val="32"/>
        </w:rPr>
        <w:t>并进行项目</w:t>
      </w:r>
      <w:r>
        <w:rPr>
          <w:rFonts w:ascii="仿宋_GB2312" w:eastAsia="仿宋_GB2312" w:hAnsi="仿宋" w:cs="仿宋" w:hint="eastAsia"/>
          <w:color w:val="000000"/>
          <w:sz w:val="32"/>
          <w:szCs w:val="32"/>
        </w:rPr>
        <w:t>自验工作。</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楷体_GB2312" w:eastAsia="楷体_GB2312" w:hAnsi="楷体" w:cs="楷体" w:hint="eastAsia"/>
          <w:b/>
          <w:color w:val="000000"/>
          <w:sz w:val="32"/>
          <w:szCs w:val="32"/>
        </w:rPr>
        <w:t>（三）编制县级方案。</w:t>
      </w:r>
      <w:r>
        <w:rPr>
          <w:rFonts w:ascii="仿宋_GB2312" w:eastAsia="仿宋_GB2312" w:hAnsi="仿宋_GB2312" w:cs="仿宋_GB2312" w:hint="eastAsia"/>
          <w:bCs/>
          <w:color w:val="000000"/>
          <w:sz w:val="32"/>
          <w:szCs w:val="32"/>
        </w:rPr>
        <w:t>各重点县要</w:t>
      </w:r>
      <w:r>
        <w:rPr>
          <w:rFonts w:ascii="仿宋_GB2312" w:eastAsia="仿宋_GB2312" w:hAnsi="仿宋" w:cs="仿宋" w:hint="eastAsia"/>
          <w:color w:val="000000"/>
          <w:sz w:val="32"/>
          <w:szCs w:val="32"/>
        </w:rPr>
        <w:t>加强对县域秸秆综合利用的规划研究，在省、市项目管理部门及省秸秆综合利用技术专家组指导下，制定县级项目实施方案，方案要明确建设内容、保障机制、资金分配、资金管理、补贴标准、补贴程序、进度安排等内容。</w:t>
      </w:r>
      <w:r w:rsidRPr="004B4B43">
        <w:rPr>
          <w:rFonts w:ascii="仿宋_GB2312" w:eastAsia="仿宋_GB2312" w:hAnsi="仿宋" w:cs="仿宋" w:hint="eastAsia"/>
          <w:color w:val="000000"/>
          <w:sz w:val="32"/>
          <w:szCs w:val="32"/>
        </w:rPr>
        <w:t>方案批复</w:t>
      </w:r>
      <w:r>
        <w:rPr>
          <w:rFonts w:ascii="仿宋_GB2312" w:eastAsia="仿宋_GB2312" w:hAnsi="仿宋" w:cs="仿宋" w:hint="eastAsia"/>
          <w:color w:val="000000"/>
          <w:sz w:val="32"/>
          <w:szCs w:val="32"/>
        </w:rPr>
        <w:t>后要在县（市、区）政府网站或市级以上农业部门网站进行公开，接受社会监督，并上报省农业农村厅备案。</w:t>
      </w:r>
    </w:p>
    <w:p w:rsidR="004839DF" w:rsidRPr="00F32CDF" w:rsidRDefault="004839DF" w:rsidP="004839DF">
      <w:pPr>
        <w:spacing w:line="586" w:lineRule="exact"/>
        <w:ind w:firstLineChars="200" w:firstLine="618"/>
        <w:rPr>
          <w:rFonts w:ascii="仿宋_GB2312" w:eastAsia="仿宋_GB2312" w:hAnsi="仿宋_GB2312" w:cs="仿宋_GB2312"/>
          <w:color w:val="000000"/>
          <w:spacing w:val="-6"/>
          <w:sz w:val="32"/>
          <w:szCs w:val="32"/>
        </w:rPr>
      </w:pPr>
      <w:r w:rsidRPr="00F32CDF">
        <w:rPr>
          <w:rFonts w:ascii="楷体_GB2312" w:eastAsia="楷体_GB2312" w:hAnsi="楷体" w:cs="楷体" w:hint="eastAsia"/>
          <w:b/>
          <w:color w:val="000000"/>
          <w:spacing w:val="-6"/>
          <w:sz w:val="32"/>
          <w:szCs w:val="32"/>
        </w:rPr>
        <w:t>（四）落实扶持政策。</w:t>
      </w:r>
      <w:r w:rsidRPr="00F32CDF">
        <w:rPr>
          <w:rFonts w:ascii="仿宋_GB2312" w:eastAsia="仿宋_GB2312" w:hAnsi="仿宋" w:cs="仿宋" w:hint="eastAsia"/>
          <w:color w:val="000000"/>
          <w:spacing w:val="-6"/>
          <w:sz w:val="32"/>
          <w:szCs w:val="32"/>
        </w:rPr>
        <w:t>各重点县要</w:t>
      </w:r>
      <w:r w:rsidRPr="00F32CDF">
        <w:rPr>
          <w:rFonts w:ascii="仿宋_GB2312" w:eastAsia="仿宋_GB2312" w:hAnsi="仿宋_GB2312" w:cs="仿宋_GB2312" w:hint="eastAsia"/>
          <w:color w:val="000000"/>
          <w:spacing w:val="-6"/>
          <w:sz w:val="32"/>
          <w:szCs w:val="32"/>
        </w:rPr>
        <w:t>认真贯彻落实省人大常委会《关于促进农作物秸秆综合利用和禁止露天焚烧的决定》，</w:t>
      </w:r>
      <w:r w:rsidRPr="004B4B43">
        <w:rPr>
          <w:rFonts w:ascii="仿宋_GB2312" w:eastAsia="仿宋_GB2312" w:hAnsi="仿宋_GB2312" w:cs="仿宋_GB2312" w:hint="eastAsia"/>
          <w:color w:val="000000"/>
          <w:spacing w:val="-6"/>
          <w:sz w:val="32"/>
          <w:szCs w:val="32"/>
        </w:rPr>
        <w:t>研究出</w:t>
      </w:r>
      <w:r w:rsidRPr="004B4B43">
        <w:rPr>
          <w:rFonts w:ascii="仿宋_GB2312" w:eastAsia="仿宋_GB2312" w:hAnsi="仿宋_GB2312" w:cs="仿宋_GB2312" w:hint="eastAsia"/>
          <w:color w:val="000000"/>
          <w:spacing w:val="-6"/>
          <w:sz w:val="32"/>
          <w:szCs w:val="32"/>
        </w:rPr>
        <w:lastRenderedPageBreak/>
        <w:t>台</w:t>
      </w:r>
      <w:r w:rsidRPr="00F32CDF">
        <w:rPr>
          <w:rFonts w:ascii="仿宋_GB2312" w:eastAsia="仿宋_GB2312" w:hAnsi="仿宋_GB2312" w:cs="仿宋_GB2312" w:hint="eastAsia"/>
          <w:color w:val="000000"/>
          <w:spacing w:val="-6"/>
          <w:sz w:val="32"/>
          <w:szCs w:val="32"/>
        </w:rPr>
        <w:t>鼓励秸秆综合利用在税收、信贷、用地、用电等方面的优惠政策，调动农民和市场主体的积极性。强化财政资金导向作用，引导社会资本投入，整合涉农资金加大对</w:t>
      </w:r>
      <w:r w:rsidRPr="004B4B43">
        <w:rPr>
          <w:rFonts w:ascii="仿宋_GB2312" w:eastAsia="仿宋_GB2312" w:hAnsi="仿宋_GB2312" w:cs="仿宋_GB2312" w:hint="eastAsia"/>
          <w:color w:val="000000"/>
          <w:spacing w:val="-6"/>
          <w:sz w:val="32"/>
          <w:szCs w:val="32"/>
        </w:rPr>
        <w:t>秸秆综合利用的支持力度，</w:t>
      </w:r>
      <w:r w:rsidRPr="00F32CDF">
        <w:rPr>
          <w:rFonts w:ascii="仿宋_GB2312" w:eastAsia="仿宋_GB2312" w:hAnsi="仿宋_GB2312" w:cs="仿宋_GB2312" w:hint="eastAsia"/>
          <w:color w:val="000000"/>
          <w:spacing w:val="-6"/>
          <w:sz w:val="32"/>
          <w:szCs w:val="32"/>
        </w:rPr>
        <w:t>大力培育产业化龙头企业，提高秸秆资源化利用水平。</w:t>
      </w:r>
    </w:p>
    <w:p w:rsidR="004839DF" w:rsidRDefault="004839DF" w:rsidP="004839DF">
      <w:pPr>
        <w:spacing w:line="586" w:lineRule="exact"/>
        <w:ind w:firstLineChars="200" w:firstLine="643"/>
        <w:rPr>
          <w:rFonts w:ascii="仿宋_GB2312" w:eastAsia="仿宋_GB2312" w:hAnsi="仿宋_GB2312" w:cs="仿宋_GB2312"/>
          <w:bCs/>
          <w:color w:val="000000"/>
          <w:sz w:val="32"/>
          <w:szCs w:val="32"/>
        </w:rPr>
      </w:pPr>
      <w:r>
        <w:rPr>
          <w:rFonts w:ascii="楷体_GB2312" w:eastAsia="楷体_GB2312" w:hAnsi="楷体" w:cs="楷体" w:hint="eastAsia"/>
          <w:b/>
          <w:color w:val="000000"/>
          <w:sz w:val="32"/>
          <w:szCs w:val="32"/>
        </w:rPr>
        <w:t>（五）加强技术支撑。</w:t>
      </w:r>
      <w:r w:rsidRPr="004B4B43">
        <w:rPr>
          <w:rFonts w:ascii="仿宋_GB2312" w:eastAsia="仿宋_GB2312" w:hAnsi="仿宋_GB2312" w:cs="仿宋_GB2312" w:hint="eastAsia"/>
          <w:bCs/>
          <w:color w:val="000000"/>
          <w:sz w:val="32"/>
          <w:szCs w:val="32"/>
        </w:rPr>
        <w:t>省农业农村厅组建省级技术专家组,帮助重点县解决遇到的技术问题，对项目实施相关技术标准规范进行咨询指导，省农业农村厅组织开展现场观摩、技术培训、专家巡回技术指导服务等活动不少于2次。</w:t>
      </w:r>
      <w:r>
        <w:rPr>
          <w:rFonts w:ascii="仿宋_GB2312" w:eastAsia="仿宋_GB2312" w:hAnsi="仿宋_GB2312" w:cs="仿宋_GB2312" w:hint="eastAsia"/>
          <w:bCs/>
          <w:color w:val="000000"/>
          <w:sz w:val="32"/>
          <w:szCs w:val="32"/>
        </w:rPr>
        <w:t>各市农业农村部门要组织技术专家对接重点县，开展经常性的技术指导和服务，</w:t>
      </w:r>
      <w:r w:rsidRPr="004B4B43">
        <w:rPr>
          <w:rFonts w:ascii="仿宋_GB2312" w:eastAsia="仿宋_GB2312" w:hAnsi="仿宋_GB2312" w:cs="仿宋_GB2312" w:hint="eastAsia"/>
          <w:bCs/>
          <w:color w:val="000000"/>
          <w:sz w:val="32"/>
          <w:szCs w:val="32"/>
        </w:rPr>
        <w:t>并对秸秆还田标准、收储运站点建设标准进行指导</w:t>
      </w:r>
      <w:r>
        <w:rPr>
          <w:rFonts w:ascii="仿宋_GB2312" w:eastAsia="仿宋_GB2312" w:hAnsi="仿宋_GB2312" w:cs="仿宋_GB2312" w:hint="eastAsia"/>
          <w:bCs/>
          <w:color w:val="000000"/>
          <w:sz w:val="32"/>
          <w:szCs w:val="32"/>
        </w:rPr>
        <w:t>。各重点县农业农村部门要组建技术指导组，指导承担任务的</w:t>
      </w:r>
      <w:r w:rsidRPr="004B4B43">
        <w:rPr>
          <w:rFonts w:ascii="仿宋_GB2312" w:eastAsia="仿宋_GB2312" w:hAnsi="仿宋_GB2312" w:cs="仿宋_GB2312" w:hint="eastAsia"/>
          <w:bCs/>
          <w:color w:val="000000"/>
          <w:sz w:val="32"/>
          <w:szCs w:val="32"/>
        </w:rPr>
        <w:t>市场化主体</w:t>
      </w:r>
      <w:r>
        <w:rPr>
          <w:rFonts w:ascii="仿宋_GB2312" w:eastAsia="仿宋_GB2312" w:hAnsi="仿宋_GB2312" w:cs="仿宋_GB2312" w:hint="eastAsia"/>
          <w:bCs/>
          <w:color w:val="000000"/>
          <w:sz w:val="32"/>
          <w:szCs w:val="32"/>
        </w:rPr>
        <w:t>和社会化服务组织优选成熟可靠、先进适用的秸秆综合利用技术，</w:t>
      </w:r>
      <w:r w:rsidRPr="004B4B43">
        <w:rPr>
          <w:rFonts w:ascii="仿宋_GB2312" w:eastAsia="仿宋_GB2312" w:hAnsi="仿宋_GB2312" w:cs="仿宋_GB2312" w:hint="eastAsia"/>
          <w:bCs/>
          <w:color w:val="000000"/>
          <w:sz w:val="32"/>
          <w:szCs w:val="32"/>
        </w:rPr>
        <w:t>总结</w:t>
      </w:r>
      <w:r>
        <w:rPr>
          <w:rFonts w:ascii="仿宋_GB2312" w:eastAsia="仿宋_GB2312" w:hAnsi="仿宋_GB2312" w:cs="仿宋_GB2312" w:hint="eastAsia"/>
          <w:bCs/>
          <w:color w:val="000000"/>
          <w:sz w:val="32"/>
          <w:szCs w:val="32"/>
        </w:rPr>
        <w:t>编制县域秸秆综合利用模式和秸秆综合利用技术清单；</w:t>
      </w:r>
      <w:r w:rsidRPr="004B4B43">
        <w:rPr>
          <w:rFonts w:ascii="仿宋_GB2312" w:eastAsia="仿宋_GB2312" w:hAnsi="仿宋_GB2312" w:cs="仿宋_GB2312" w:hint="eastAsia"/>
          <w:bCs/>
          <w:color w:val="000000"/>
          <w:sz w:val="32"/>
          <w:szCs w:val="32"/>
        </w:rPr>
        <w:t>各重点县至少组织一次秸秆综合利用技术培训和一次现场示范观摩活动。</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楷体_GB2312" w:eastAsia="楷体_GB2312" w:hAnsi="楷体" w:cs="楷体" w:hint="eastAsia"/>
          <w:b/>
          <w:color w:val="000000"/>
          <w:sz w:val="32"/>
          <w:szCs w:val="32"/>
        </w:rPr>
        <w:t>（六）加强项目监管。</w:t>
      </w:r>
      <w:r>
        <w:rPr>
          <w:rFonts w:ascii="仿宋_GB2312" w:eastAsia="仿宋_GB2312" w:hAnsi="仿宋_GB2312" w:cs="仿宋_GB2312" w:hint="eastAsia"/>
          <w:bCs/>
          <w:color w:val="000000"/>
          <w:sz w:val="32"/>
          <w:szCs w:val="32"/>
        </w:rPr>
        <w:t>建立项目调度制度，每月调度项目进展和资金执行情况。加强项目资金绩效考核和项目实施自评估，对考核结果较差的县减少或不再安排中央财政补助资金项目，形成有利于项目实施的激励约束机制。各</w:t>
      </w:r>
      <w:r>
        <w:rPr>
          <w:rFonts w:ascii="仿宋_GB2312" w:eastAsia="仿宋_GB2312" w:hAnsi="仿宋" w:cs="仿宋" w:hint="eastAsia"/>
          <w:color w:val="000000"/>
          <w:sz w:val="32"/>
          <w:szCs w:val="32"/>
        </w:rPr>
        <w:t>重点县切实加强资金监管，建立健全财务管理制度，加强和规范资金使用，项目资金专款专用，及时拨付项目资金，切实提高资金使用效益。从5月开始，各县每月20日前向省农业农村厅报送项目进展和资金执行情况，12月10日前报送年度秸秆综合利用工作总结和县域秸秆综合利</w:t>
      </w:r>
      <w:r>
        <w:rPr>
          <w:rFonts w:ascii="仿宋_GB2312" w:eastAsia="仿宋_GB2312" w:hAnsi="仿宋" w:cs="仿宋" w:hint="eastAsia"/>
          <w:color w:val="000000"/>
          <w:sz w:val="32"/>
          <w:szCs w:val="32"/>
        </w:rPr>
        <w:lastRenderedPageBreak/>
        <w:t>用模式、主推技术、优惠政策清单。</w:t>
      </w:r>
    </w:p>
    <w:p w:rsidR="004839DF" w:rsidRDefault="004839DF" w:rsidP="004839DF">
      <w:pPr>
        <w:spacing w:line="586" w:lineRule="exact"/>
        <w:ind w:firstLineChars="200" w:firstLine="640"/>
        <w:rPr>
          <w:rFonts w:ascii="仿宋_GB2312" w:eastAsia="仿宋_GB2312" w:hAnsi="仿宋" w:cs="仿宋"/>
          <w:color w:val="000000"/>
          <w:sz w:val="32"/>
          <w:szCs w:val="32"/>
        </w:rPr>
      </w:pPr>
    </w:p>
    <w:p w:rsidR="004839DF" w:rsidRPr="00F32CDF" w:rsidRDefault="004839DF" w:rsidP="004839DF">
      <w:pPr>
        <w:spacing w:line="560" w:lineRule="exact"/>
        <w:rPr>
          <w:rFonts w:ascii="黑体" w:eastAsia="黑体" w:hAnsi="黑体"/>
          <w:sz w:val="32"/>
          <w:szCs w:val="32"/>
        </w:rPr>
      </w:pPr>
      <w:r w:rsidRPr="00F32CDF">
        <w:rPr>
          <w:rFonts w:ascii="黑体" w:eastAsia="黑体" w:hAnsi="黑体" w:hint="eastAsia"/>
          <w:sz w:val="32"/>
          <w:szCs w:val="32"/>
        </w:rPr>
        <w:t>附件2</w:t>
      </w:r>
    </w:p>
    <w:p w:rsidR="004839DF" w:rsidRPr="00F32CDF" w:rsidRDefault="004839DF" w:rsidP="004839DF">
      <w:pPr>
        <w:spacing w:beforeLines="50" w:before="120" w:afterLines="50" w:after="120" w:line="560" w:lineRule="exact"/>
        <w:jc w:val="center"/>
        <w:rPr>
          <w:rFonts w:ascii="方正小标宋简体" w:eastAsia="方正小标宋简体"/>
          <w:sz w:val="44"/>
          <w:szCs w:val="44"/>
        </w:rPr>
      </w:pPr>
      <w:r w:rsidRPr="00F32CDF">
        <w:rPr>
          <w:rFonts w:ascii="方正小标宋简体" w:eastAsia="方正小标宋简体" w:hint="eastAsia"/>
          <w:sz w:val="44"/>
          <w:szCs w:val="44"/>
        </w:rPr>
        <w:t>2021年秸秆综合利用重点县自评估表</w:t>
      </w:r>
    </w:p>
    <w:p w:rsidR="004839DF" w:rsidRPr="004B4B43" w:rsidRDefault="004839DF" w:rsidP="004839DF">
      <w:pPr>
        <w:rPr>
          <w:rFonts w:ascii="宋体" w:hAnsi="宋体"/>
          <w:sz w:val="32"/>
          <w:szCs w:val="32"/>
        </w:rPr>
      </w:pPr>
      <w:r w:rsidRPr="004B4B43">
        <w:rPr>
          <w:rFonts w:ascii="宋体" w:hAnsi="宋体"/>
          <w:sz w:val="24"/>
        </w:rPr>
        <w:t>县（市、区）：</w:t>
      </w:r>
    </w:p>
    <w:tbl>
      <w:tblPr>
        <w:tblW w:w="5069" w:type="pct"/>
        <w:jc w:val="center"/>
        <w:tblCellMar>
          <w:left w:w="0" w:type="dxa"/>
          <w:right w:w="0" w:type="dxa"/>
        </w:tblCellMar>
        <w:tblLook w:val="04A0" w:firstRow="1" w:lastRow="0" w:firstColumn="1" w:lastColumn="0" w:noHBand="0" w:noVBand="1"/>
      </w:tblPr>
      <w:tblGrid>
        <w:gridCol w:w="519"/>
        <w:gridCol w:w="838"/>
        <w:gridCol w:w="570"/>
        <w:gridCol w:w="1313"/>
        <w:gridCol w:w="475"/>
        <w:gridCol w:w="5281"/>
      </w:tblGrid>
      <w:tr w:rsidR="004839DF" w:rsidRPr="00F32CDF" w:rsidTr="00BE0DFF">
        <w:trPr>
          <w:trHeight w:val="454"/>
          <w:tblHeader/>
          <w:jc w:val="center"/>
        </w:trPr>
        <w:tc>
          <w:tcPr>
            <w:tcW w:w="288"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b/>
                <w:bCs/>
                <w:szCs w:val="21"/>
              </w:rPr>
            </w:pPr>
            <w:r w:rsidRPr="004B4B43">
              <w:rPr>
                <w:rFonts w:ascii="宋体" w:hAnsi="宋体" w:cs="宋体" w:hint="eastAsia"/>
                <w:b/>
                <w:szCs w:val="21"/>
              </w:rPr>
              <w:t>序号</w:t>
            </w:r>
          </w:p>
        </w:tc>
        <w:tc>
          <w:tcPr>
            <w:tcW w:w="783"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b/>
                <w:bCs/>
                <w:szCs w:val="21"/>
              </w:rPr>
            </w:pPr>
            <w:r w:rsidRPr="004B4B43">
              <w:rPr>
                <w:rFonts w:ascii="宋体" w:hAnsi="宋体" w:cs="宋体" w:hint="eastAsia"/>
                <w:b/>
                <w:szCs w:val="21"/>
              </w:rPr>
              <w:t>评估指标</w:t>
            </w:r>
          </w:p>
        </w:tc>
        <w:tc>
          <w:tcPr>
            <w:tcW w:w="730"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b/>
                <w:bCs/>
                <w:szCs w:val="21"/>
              </w:rPr>
            </w:pPr>
            <w:r w:rsidRPr="004B4B43">
              <w:rPr>
                <w:rFonts w:ascii="宋体" w:hAnsi="宋体" w:cs="宋体" w:hint="eastAsia"/>
                <w:b/>
                <w:szCs w:val="21"/>
              </w:rPr>
              <w:t>评估内容</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b/>
                <w:bCs/>
                <w:szCs w:val="21"/>
              </w:rPr>
            </w:pPr>
            <w:r w:rsidRPr="004B4B43">
              <w:rPr>
                <w:rFonts w:ascii="宋体" w:hAnsi="宋体" w:cs="宋体" w:hint="eastAsia"/>
                <w:b/>
                <w:szCs w:val="21"/>
              </w:rPr>
              <w:t>分值</w:t>
            </w:r>
          </w:p>
        </w:tc>
        <w:tc>
          <w:tcPr>
            <w:tcW w:w="2935"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b/>
                <w:bCs/>
                <w:szCs w:val="21"/>
              </w:rPr>
            </w:pPr>
            <w:r w:rsidRPr="004B4B43">
              <w:rPr>
                <w:rFonts w:ascii="宋体" w:hAnsi="宋体" w:cs="宋体" w:hint="eastAsia"/>
                <w:b/>
                <w:szCs w:val="21"/>
              </w:rPr>
              <w:t>评估要点</w:t>
            </w:r>
          </w:p>
        </w:tc>
      </w:tr>
      <w:tr w:rsidR="004839DF" w:rsidRPr="00F32CDF" w:rsidTr="00BE0DFF">
        <w:trPr>
          <w:trHeight w:val="1087"/>
          <w:jc w:val="center"/>
        </w:trPr>
        <w:tc>
          <w:tcPr>
            <w:tcW w:w="288"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w:t>
            </w:r>
          </w:p>
        </w:tc>
        <w:tc>
          <w:tcPr>
            <w:tcW w:w="466"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组</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织</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管</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理</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(15分)</w:t>
            </w:r>
          </w:p>
        </w:tc>
        <w:tc>
          <w:tcPr>
            <w:tcW w:w="317"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实施</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方案</w:t>
            </w:r>
          </w:p>
        </w:tc>
        <w:tc>
          <w:tcPr>
            <w:tcW w:w="730"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实施方案科学</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合理</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7</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制定年度秸秆综合利用实施方案，且方案明确建设内容、保障机制、资金分配、资金管理、补贴标准、补贴程序、进度安排等内容的，得7分，方案内容每少一项扣1分，扣完为止。</w:t>
            </w:r>
          </w:p>
        </w:tc>
      </w:tr>
      <w:tr w:rsidR="004839DF" w:rsidRPr="00F32CDF" w:rsidTr="00BE0DFF">
        <w:trPr>
          <w:trHeight w:val="1104"/>
          <w:jc w:val="center"/>
        </w:trPr>
        <w:tc>
          <w:tcPr>
            <w:tcW w:w="288"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2</w:t>
            </w:r>
          </w:p>
        </w:tc>
        <w:tc>
          <w:tcPr>
            <w:tcW w:w="466" w:type="pct"/>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317" w:type="pct"/>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730"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方案批复与</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公示</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3</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批复后的县级实施方案在2021年6月30日前报省农业农村厅备案，得2分，否则小项不得分；方案批复后在县级人民政府网站或市级农业部门网站等政府门户上公开的，得1分，否则小项不得分。</w:t>
            </w:r>
          </w:p>
        </w:tc>
      </w:tr>
      <w:tr w:rsidR="004839DF" w:rsidRPr="00F32CDF" w:rsidTr="00BE0DFF">
        <w:trPr>
          <w:trHeight w:val="870"/>
          <w:jc w:val="center"/>
        </w:trPr>
        <w:tc>
          <w:tcPr>
            <w:tcW w:w="288" w:type="pct"/>
            <w:vMerge w:val="restart"/>
            <w:tcBorders>
              <w:top w:val="single" w:sz="4" w:space="0" w:color="000000"/>
              <w:left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3</w:t>
            </w:r>
          </w:p>
        </w:tc>
        <w:tc>
          <w:tcPr>
            <w:tcW w:w="466" w:type="pct"/>
            <w:vMerge/>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317" w:type="pct"/>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组织</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领导</w:t>
            </w:r>
          </w:p>
        </w:tc>
        <w:tc>
          <w:tcPr>
            <w:tcW w:w="730" w:type="pct"/>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政府专门成立</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秸秆综合利用</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领导小组</w:t>
            </w:r>
          </w:p>
        </w:tc>
        <w:tc>
          <w:tcPr>
            <w:tcW w:w="264" w:type="pct"/>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2</w:t>
            </w:r>
          </w:p>
        </w:tc>
        <w:tc>
          <w:tcPr>
            <w:tcW w:w="2935" w:type="pct"/>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成立以县（市、区）政府负责同志牵头的秸秆综合利用领导小组，推进秸秆综合利用工作，得2分，否则不得分。</w:t>
            </w:r>
          </w:p>
        </w:tc>
      </w:tr>
      <w:tr w:rsidR="004839DF" w:rsidRPr="00F32CDF" w:rsidTr="00BE0DFF">
        <w:trPr>
          <w:trHeight w:val="1110"/>
          <w:jc w:val="center"/>
        </w:trPr>
        <w:tc>
          <w:tcPr>
            <w:tcW w:w="288" w:type="pct"/>
            <w:vMerge/>
            <w:tcBorders>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466" w:type="pct"/>
            <w:vMerge/>
            <w:tcBorders>
              <w:left w:val="single" w:sz="4" w:space="0" w:color="000000"/>
              <w:bottom w:val="single" w:sz="4" w:space="0" w:color="auto"/>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317" w:type="pct"/>
            <w:tcBorders>
              <w:top w:val="single" w:sz="4" w:space="0" w:color="auto"/>
              <w:left w:val="single" w:sz="4" w:space="0" w:color="000000"/>
              <w:bottom w:val="single" w:sz="4" w:space="0" w:color="auto"/>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技术</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支撑</w:t>
            </w:r>
          </w:p>
        </w:tc>
        <w:tc>
          <w:tcPr>
            <w:tcW w:w="730" w:type="pct"/>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技术推广、</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项目培训、</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示范观摩</w:t>
            </w:r>
          </w:p>
        </w:tc>
        <w:tc>
          <w:tcPr>
            <w:tcW w:w="264" w:type="pct"/>
            <w:tcBorders>
              <w:top w:val="single" w:sz="4" w:space="0" w:color="auto"/>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3</w:t>
            </w:r>
          </w:p>
        </w:tc>
        <w:tc>
          <w:tcPr>
            <w:tcW w:w="2935" w:type="pct"/>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成立县（市、区）技术指导组，得1分，未成立不得分；加强和各级技术专家组协作，积极推广秸秆综合利用技术，开展技术服务，发挥实际作用（开展模式总结、技术总结，开展实地技术指导、培训授课等），得2分，否则不得分。</w:t>
            </w:r>
          </w:p>
        </w:tc>
      </w:tr>
      <w:tr w:rsidR="004839DF" w:rsidRPr="00F32CDF" w:rsidTr="00BE0DFF">
        <w:trPr>
          <w:trHeight w:val="1106"/>
          <w:jc w:val="center"/>
        </w:trPr>
        <w:tc>
          <w:tcPr>
            <w:tcW w:w="288" w:type="pct"/>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4</w:t>
            </w:r>
          </w:p>
        </w:tc>
        <w:tc>
          <w:tcPr>
            <w:tcW w:w="466"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实</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施</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执</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行</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(35分)</w:t>
            </w:r>
          </w:p>
        </w:tc>
        <w:tc>
          <w:tcPr>
            <w:tcW w:w="31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补贴</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对象</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选取</w:t>
            </w:r>
          </w:p>
        </w:tc>
        <w:tc>
          <w:tcPr>
            <w:tcW w:w="730" w:type="pct"/>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补贴对象选取</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流程符合地方</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财务规定</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5</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补贴对象选取流程符合地方财务规定，单项额度较大的补贴资金按地方财务规定以公开招标等方式确定补贴对象的，得5分；每存在1家不符合规定的参与主体扣1分，扣完为止。</w:t>
            </w:r>
          </w:p>
        </w:tc>
      </w:tr>
      <w:tr w:rsidR="004839DF" w:rsidRPr="00F32CDF" w:rsidTr="00BE0DFF">
        <w:trPr>
          <w:trHeight w:val="1138"/>
          <w:jc w:val="center"/>
        </w:trPr>
        <w:tc>
          <w:tcPr>
            <w:tcW w:w="288" w:type="pct"/>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5</w:t>
            </w:r>
          </w:p>
        </w:tc>
        <w:tc>
          <w:tcPr>
            <w:tcW w:w="466" w:type="pct"/>
            <w:vMerge/>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合同</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管理</w:t>
            </w:r>
          </w:p>
        </w:tc>
        <w:tc>
          <w:tcPr>
            <w:tcW w:w="730" w:type="pct"/>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政府部门与</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市场主体在签订协议，进行</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合同化管理</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5</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与承担建设内容的市场化主体均签订了协议合同的，得5分；每有一家未签订扣0.5分，扣完为止；均未签订，不得分。</w:t>
            </w:r>
          </w:p>
        </w:tc>
      </w:tr>
      <w:tr w:rsidR="004839DF" w:rsidRPr="00F32CDF" w:rsidTr="00BE0DFF">
        <w:trPr>
          <w:trHeight w:val="859"/>
          <w:jc w:val="center"/>
        </w:trPr>
        <w:tc>
          <w:tcPr>
            <w:tcW w:w="288" w:type="pct"/>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6</w:t>
            </w:r>
          </w:p>
        </w:tc>
        <w:tc>
          <w:tcPr>
            <w:tcW w:w="466" w:type="pct"/>
            <w:vMerge/>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资金</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使用</w:t>
            </w:r>
          </w:p>
        </w:tc>
        <w:tc>
          <w:tcPr>
            <w:tcW w:w="730" w:type="pct"/>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资金执行</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进度</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6</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截止2021年12月底，资金执行进度达100%的得6分；90%（含）以上不足100%的，得4分；80%（含）以上不足90%的，得2分；低于80%的，不得分。</w:t>
            </w:r>
          </w:p>
        </w:tc>
      </w:tr>
      <w:tr w:rsidR="004839DF" w:rsidRPr="00F32CDF" w:rsidTr="00BE0DFF">
        <w:trPr>
          <w:trHeight w:val="1096"/>
          <w:jc w:val="center"/>
        </w:trPr>
        <w:tc>
          <w:tcPr>
            <w:tcW w:w="288" w:type="pct"/>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7</w:t>
            </w:r>
          </w:p>
        </w:tc>
        <w:tc>
          <w:tcPr>
            <w:tcW w:w="466" w:type="pct"/>
            <w:vMerge/>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vMerge/>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730" w:type="pct"/>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资金支出符合</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相关规定</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8</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财务资料完整、会计核算规范、资金支出均符合规定要求的，得8分。会计核算不规范的，每发现一个问题扣2分；如存在虚列或套取、截留、挤占、挪用资金行为，或擅自扩大资金支出范围的，不得分。</w:t>
            </w:r>
          </w:p>
        </w:tc>
      </w:tr>
      <w:tr w:rsidR="004839DF" w:rsidRPr="00F32CDF" w:rsidTr="00BE0DFF">
        <w:trPr>
          <w:trHeight w:val="1082"/>
          <w:jc w:val="center"/>
        </w:trPr>
        <w:tc>
          <w:tcPr>
            <w:tcW w:w="288" w:type="pct"/>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lastRenderedPageBreak/>
              <w:t>8</w:t>
            </w:r>
          </w:p>
        </w:tc>
        <w:tc>
          <w:tcPr>
            <w:tcW w:w="466" w:type="pct"/>
            <w:vMerge/>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vMerge/>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730" w:type="pct"/>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资金发放符合</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相关规定</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8</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细化了资金发放流程，并按地方规定及时合理发放相关资金的，得4分，否则不得分；资金发放对象及内容在县级政府门户网站或有关部门（或乡村）宣告栏内公示的，得4分，否则不得分。</w:t>
            </w:r>
          </w:p>
        </w:tc>
      </w:tr>
      <w:tr w:rsidR="004839DF" w:rsidRPr="00F32CDF" w:rsidTr="00BE0DFF">
        <w:trPr>
          <w:trHeight w:val="984"/>
          <w:jc w:val="center"/>
        </w:trPr>
        <w:tc>
          <w:tcPr>
            <w:tcW w:w="288" w:type="pct"/>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9</w:t>
            </w:r>
          </w:p>
        </w:tc>
        <w:tc>
          <w:tcPr>
            <w:tcW w:w="466" w:type="pct"/>
            <w:vMerge/>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档案</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资料</w:t>
            </w:r>
          </w:p>
        </w:tc>
        <w:tc>
          <w:tcPr>
            <w:tcW w:w="730" w:type="pct"/>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工作档案以及</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相关文件</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资料齐全</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3</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档案清晰易查的，包括实施方案、资金到账、资金拨付凭证、检查验收、工作进展和工作简报等，得3分；每缺一项扣0.5分，扣完为止。</w:t>
            </w:r>
          </w:p>
        </w:tc>
      </w:tr>
      <w:tr w:rsidR="004839DF" w:rsidRPr="00F32CDF" w:rsidTr="00BE0DFF">
        <w:trPr>
          <w:trHeight w:val="1191"/>
          <w:jc w:val="center"/>
        </w:trPr>
        <w:tc>
          <w:tcPr>
            <w:tcW w:w="288" w:type="pct"/>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10</w:t>
            </w:r>
          </w:p>
        </w:tc>
        <w:tc>
          <w:tcPr>
            <w:tcW w:w="466"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实</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施</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效</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果</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(50分)</w:t>
            </w:r>
          </w:p>
        </w:tc>
        <w:tc>
          <w:tcPr>
            <w:tcW w:w="317"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产出效益</w:t>
            </w:r>
          </w:p>
        </w:tc>
        <w:tc>
          <w:tcPr>
            <w:tcW w:w="73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秸秆综合利用率有效提升</w:t>
            </w:r>
          </w:p>
        </w:tc>
        <w:tc>
          <w:tcPr>
            <w:tcW w:w="264" w:type="pct"/>
            <w:tcBorders>
              <w:top w:val="single" w:sz="4" w:space="0" w:color="000000"/>
              <w:left w:val="single" w:sz="4" w:space="0" w:color="auto"/>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color w:val="000000"/>
                <w:szCs w:val="21"/>
              </w:rPr>
            </w:pPr>
            <w:r w:rsidRPr="004B4B43">
              <w:rPr>
                <w:rFonts w:ascii="宋体" w:hAnsi="宋体" w:cs="宋体" w:hint="eastAsia"/>
                <w:color w:val="000000"/>
                <w:szCs w:val="21"/>
              </w:rPr>
              <w:t>10</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left"/>
              <w:rPr>
                <w:rFonts w:ascii="宋体" w:hAnsi="宋体" w:cs="宋体"/>
                <w:szCs w:val="21"/>
              </w:rPr>
            </w:pPr>
            <w:r w:rsidRPr="004B4B43">
              <w:rPr>
                <w:rFonts w:ascii="宋体" w:hAnsi="宋体" w:cs="宋体" w:hint="eastAsia"/>
                <w:szCs w:val="21"/>
              </w:rPr>
              <w:t>秸秆综合利用率达到90%以上或比上年提高5个百分点，得10分，否则不得分。全量利用试点县、农业生态区域补偿制度试点县和产业模式试点县，秸秆实现全量利用。</w:t>
            </w:r>
          </w:p>
        </w:tc>
      </w:tr>
      <w:tr w:rsidR="004839DF" w:rsidRPr="00F32CDF" w:rsidTr="00BE0DFF">
        <w:trPr>
          <w:trHeight w:val="1250"/>
          <w:jc w:val="center"/>
        </w:trPr>
        <w:tc>
          <w:tcPr>
            <w:tcW w:w="288" w:type="pct"/>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11</w:t>
            </w:r>
          </w:p>
        </w:tc>
        <w:tc>
          <w:tcPr>
            <w:tcW w:w="466" w:type="pct"/>
            <w:vMerge/>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317" w:type="pct"/>
            <w:vMerge/>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73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建立有效的</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秸秆资源台账制度</w:t>
            </w:r>
          </w:p>
        </w:tc>
        <w:tc>
          <w:tcPr>
            <w:tcW w:w="264" w:type="pct"/>
            <w:tcBorders>
              <w:top w:val="single" w:sz="4" w:space="0" w:color="000000"/>
              <w:left w:val="single" w:sz="4" w:space="0" w:color="auto"/>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color w:val="000000"/>
                <w:szCs w:val="21"/>
              </w:rPr>
            </w:pPr>
            <w:r w:rsidRPr="004B4B43">
              <w:rPr>
                <w:rFonts w:ascii="宋体" w:hAnsi="宋体" w:cs="宋体" w:hint="eastAsia"/>
                <w:color w:val="000000"/>
                <w:szCs w:val="21"/>
              </w:rPr>
              <w:t>10</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left"/>
              <w:rPr>
                <w:rFonts w:ascii="宋体" w:hAnsi="宋体" w:cs="宋体"/>
                <w:szCs w:val="21"/>
              </w:rPr>
            </w:pPr>
            <w:r w:rsidRPr="004B4B43">
              <w:rPr>
                <w:rFonts w:ascii="宋体" w:hAnsi="宋体" w:cs="宋体" w:hint="eastAsia"/>
                <w:szCs w:val="21"/>
              </w:rPr>
              <w:t>按照农业农村部有关要求建立年度台账报送机制，得5分，未报送上年度台账数据的本项不得分；台账数据真实准确，得5分，数据发现数据严重造假的本项不得分。</w:t>
            </w:r>
          </w:p>
        </w:tc>
      </w:tr>
      <w:tr w:rsidR="004839DF" w:rsidRPr="00F32CDF" w:rsidTr="00BE0DFF">
        <w:trPr>
          <w:trHeight w:val="1396"/>
          <w:jc w:val="center"/>
        </w:trPr>
        <w:tc>
          <w:tcPr>
            <w:tcW w:w="288"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12</w:t>
            </w:r>
          </w:p>
        </w:tc>
        <w:tc>
          <w:tcPr>
            <w:tcW w:w="466" w:type="pct"/>
            <w:vMerge/>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317"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社会效益</w:t>
            </w:r>
          </w:p>
        </w:tc>
        <w:tc>
          <w:tcPr>
            <w:tcW w:w="730"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建立和完善</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秸秆综合利用产业化体系</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8</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left"/>
              <w:rPr>
                <w:rFonts w:ascii="宋体" w:hAnsi="宋体" w:cs="宋体"/>
                <w:szCs w:val="21"/>
              </w:rPr>
            </w:pPr>
            <w:r w:rsidRPr="004B4B43">
              <w:rPr>
                <w:rFonts w:ascii="宋体" w:hAnsi="宋体" w:cs="宋体" w:hint="eastAsia"/>
                <w:szCs w:val="21"/>
              </w:rPr>
              <w:t>培育有代表性和经营实力的秸秆产业化利用龙头企业，支持建立秸秆还田、离田利用和收储运等社会化服务组织，每一个得1分，满分8分。</w:t>
            </w:r>
          </w:p>
        </w:tc>
      </w:tr>
      <w:tr w:rsidR="004839DF" w:rsidRPr="00F32CDF" w:rsidTr="00BE0DFF">
        <w:trPr>
          <w:trHeight w:val="1246"/>
          <w:jc w:val="center"/>
        </w:trPr>
        <w:tc>
          <w:tcPr>
            <w:tcW w:w="288"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13</w:t>
            </w:r>
          </w:p>
        </w:tc>
        <w:tc>
          <w:tcPr>
            <w:tcW w:w="466" w:type="pct"/>
            <w:vMerge/>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730"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建立长效机制</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4</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建立秸秆综合利用长效机制，梳理1套优惠政策清单的，得4分，未梳理不得分；梳理总结不到位，酌情扣分，扣完为止。</w:t>
            </w:r>
          </w:p>
        </w:tc>
      </w:tr>
      <w:tr w:rsidR="004839DF" w:rsidRPr="00F32CDF" w:rsidTr="00BE0DFF">
        <w:trPr>
          <w:trHeight w:val="1405"/>
          <w:jc w:val="center"/>
        </w:trPr>
        <w:tc>
          <w:tcPr>
            <w:tcW w:w="288"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14</w:t>
            </w:r>
          </w:p>
        </w:tc>
        <w:tc>
          <w:tcPr>
            <w:tcW w:w="466" w:type="pct"/>
            <w:vMerge/>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730"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总结县域秸秆</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综合利用技术、模式清单</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4</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总结提炼一套本县域的秸秆综合利用技术、模式清单的，得4分，未总结不得分；总结不到位，酌情扣分，扣完</w:t>
            </w:r>
          </w:p>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为止。</w:t>
            </w:r>
          </w:p>
        </w:tc>
      </w:tr>
      <w:tr w:rsidR="004839DF" w:rsidRPr="00F32CDF" w:rsidTr="00BE0DFF">
        <w:trPr>
          <w:trHeight w:val="1671"/>
          <w:jc w:val="center"/>
        </w:trPr>
        <w:tc>
          <w:tcPr>
            <w:tcW w:w="288"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15</w:t>
            </w:r>
          </w:p>
        </w:tc>
        <w:tc>
          <w:tcPr>
            <w:tcW w:w="466" w:type="pct"/>
            <w:vMerge/>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730"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新闻宣传</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4</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color w:val="000000"/>
                <w:kern w:val="0"/>
                <w:szCs w:val="21"/>
              </w:rPr>
              <w:t>积极开展秸秆综合利用和禁止露天焚烧宣传，开展1次省级以上媒体宣传，得2分，</w:t>
            </w:r>
            <w:r w:rsidRPr="004B4B43">
              <w:rPr>
                <w:rFonts w:ascii="宋体" w:hAnsi="宋体" w:cs="宋体" w:hint="eastAsia"/>
                <w:kern w:val="0"/>
                <w:szCs w:val="21"/>
              </w:rPr>
              <w:t>开展1次市级以上媒体宣传，得</w:t>
            </w:r>
            <w:r w:rsidRPr="004B4B43">
              <w:rPr>
                <w:rFonts w:ascii="宋体" w:hAnsi="宋体" w:cs="宋体"/>
                <w:kern w:val="0"/>
                <w:szCs w:val="21"/>
              </w:rPr>
              <w:t>1</w:t>
            </w:r>
            <w:r w:rsidRPr="004B4B43">
              <w:rPr>
                <w:rFonts w:ascii="宋体" w:hAnsi="宋体" w:cs="宋体" w:hint="eastAsia"/>
                <w:kern w:val="0"/>
                <w:szCs w:val="21"/>
              </w:rPr>
              <w:t>分，</w:t>
            </w:r>
            <w:r w:rsidRPr="004B4B43">
              <w:rPr>
                <w:rFonts w:ascii="宋体" w:hAnsi="宋体" w:cs="宋体" w:hint="eastAsia"/>
                <w:color w:val="000000"/>
                <w:kern w:val="0"/>
                <w:szCs w:val="21"/>
              </w:rPr>
              <w:t>未见报道的不得分；根据要求向省农业农村厅按时报送工作进展、工作简报、自评材料、总结材料等的，得2分，未按时报送的不得分。</w:t>
            </w:r>
          </w:p>
        </w:tc>
      </w:tr>
      <w:tr w:rsidR="004839DF" w:rsidRPr="00F32CDF" w:rsidTr="00BE0DFF">
        <w:trPr>
          <w:trHeight w:val="1689"/>
          <w:jc w:val="center"/>
        </w:trPr>
        <w:tc>
          <w:tcPr>
            <w:tcW w:w="288"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16</w:t>
            </w:r>
          </w:p>
        </w:tc>
        <w:tc>
          <w:tcPr>
            <w:tcW w:w="466" w:type="pct"/>
            <w:vMerge/>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环境效益</w:t>
            </w:r>
          </w:p>
        </w:tc>
        <w:tc>
          <w:tcPr>
            <w:tcW w:w="730"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未发生因秸秆</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焚烧、废弃引起的大气、</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水体污染或</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交通安全事故</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10</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left"/>
              <w:rPr>
                <w:rFonts w:ascii="宋体" w:hAnsi="宋体" w:cs="宋体"/>
                <w:szCs w:val="21"/>
              </w:rPr>
            </w:pPr>
            <w:r w:rsidRPr="004B4B43">
              <w:rPr>
                <w:rFonts w:ascii="宋体" w:hAnsi="宋体" w:cs="宋体" w:hint="eastAsia"/>
                <w:szCs w:val="21"/>
              </w:rPr>
              <w:t>未发生因秸秆焚烧、废弃引起的大气、水体污染的环境监测信息，得10分；每发生一起，扣3分，扣完为止。有省级及以上环保督察通报、约谈或省级及以上媒体曝光的重大环境影响问题，此项不得分。</w:t>
            </w:r>
          </w:p>
        </w:tc>
      </w:tr>
      <w:tr w:rsidR="004839DF" w:rsidRPr="00F32CDF" w:rsidTr="00BE0DFF">
        <w:trPr>
          <w:trHeight w:val="1234"/>
          <w:jc w:val="center"/>
        </w:trPr>
        <w:tc>
          <w:tcPr>
            <w:tcW w:w="288"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lastRenderedPageBreak/>
              <w:t>17</w:t>
            </w:r>
          </w:p>
        </w:tc>
        <w:tc>
          <w:tcPr>
            <w:tcW w:w="466"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扣分项</w:t>
            </w:r>
          </w:p>
        </w:tc>
        <w:tc>
          <w:tcPr>
            <w:tcW w:w="317"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违规违纪违法行为</w:t>
            </w:r>
          </w:p>
        </w:tc>
        <w:tc>
          <w:tcPr>
            <w:tcW w:w="730"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color w:val="FF0000"/>
                <w:szCs w:val="21"/>
              </w:rPr>
            </w:pPr>
            <w:r w:rsidRPr="004B4B43">
              <w:rPr>
                <w:rFonts w:ascii="宋体" w:hAnsi="宋体" w:cs="宋体" w:hint="eastAsia"/>
                <w:szCs w:val="21"/>
              </w:rPr>
              <w:t>资金使用方面存在违规违纪违法行为</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color w:val="FF0000"/>
                <w:szCs w:val="21"/>
              </w:rPr>
            </w:pPr>
            <w:r w:rsidRPr="004B4B43">
              <w:rPr>
                <w:rFonts w:ascii="宋体" w:hAnsi="宋体" w:cs="宋体" w:hint="eastAsia"/>
                <w:color w:val="000000"/>
                <w:szCs w:val="21"/>
              </w:rPr>
              <w:t>-20</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left"/>
              <w:rPr>
                <w:rFonts w:ascii="宋体" w:hAnsi="宋体" w:cs="宋体"/>
                <w:szCs w:val="21"/>
              </w:rPr>
            </w:pPr>
            <w:r w:rsidRPr="004B4B43">
              <w:rPr>
                <w:rFonts w:ascii="宋体" w:hAnsi="宋体" w:cs="宋体" w:hint="eastAsia"/>
                <w:szCs w:val="21"/>
              </w:rPr>
              <w:t>经各级监察、审计、财政监督等机构查实在资金使用方面存在违规违纪违法行为的，每发现一次扣20分，扣完为止。</w:t>
            </w:r>
          </w:p>
        </w:tc>
      </w:tr>
      <w:tr w:rsidR="004839DF" w:rsidRPr="00F32CDF" w:rsidTr="00BE0DFF">
        <w:trPr>
          <w:trHeight w:val="535"/>
          <w:jc w:val="center"/>
        </w:trPr>
        <w:tc>
          <w:tcPr>
            <w:tcW w:w="1801" w:type="pct"/>
            <w:gridSpan w:val="4"/>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b/>
                <w:szCs w:val="21"/>
              </w:rPr>
              <w:t>合计</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b/>
                <w:szCs w:val="21"/>
              </w:rPr>
              <w:t>100</w:t>
            </w:r>
          </w:p>
        </w:tc>
        <w:tc>
          <w:tcPr>
            <w:tcW w:w="2935"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r>
    </w:tbl>
    <w:p w:rsidR="004839DF" w:rsidRDefault="004839DF" w:rsidP="004839DF">
      <w:pPr>
        <w:spacing w:line="620" w:lineRule="exact"/>
        <w:rPr>
          <w:rFonts w:hint="eastAsia"/>
        </w:rPr>
      </w:pPr>
    </w:p>
    <w:p w:rsidR="004A0427" w:rsidRDefault="004A0427" w:rsidP="004839DF">
      <w:pPr>
        <w:spacing w:line="620" w:lineRule="exact"/>
        <w:rPr>
          <w:rFonts w:hint="eastAsia"/>
        </w:rPr>
      </w:pPr>
      <w:r>
        <w:rPr>
          <w:rFonts w:hint="eastAsia"/>
          <w:noProof/>
        </w:rPr>
        <w:drawing>
          <wp:anchor distT="0" distB="0" distL="114300" distR="114300" simplePos="0" relativeHeight="251658240" behindDoc="0" locked="0" layoutInCell="1" allowOverlap="1" wp14:anchorId="33891AA2" wp14:editId="2DCF99A9">
            <wp:simplePos x="0" y="0"/>
            <wp:positionH relativeFrom="column">
              <wp:posOffset>-886460</wp:posOffset>
            </wp:positionH>
            <wp:positionV relativeFrom="paragraph">
              <wp:posOffset>236855</wp:posOffset>
            </wp:positionV>
            <wp:extent cx="7210425" cy="4465320"/>
            <wp:effectExtent l="0" t="0" r="9525"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020210512405545312727.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210425" cy="4465320"/>
                    </a:xfrm>
                    <a:prstGeom prst="rect">
                      <a:avLst/>
                    </a:prstGeom>
                  </pic:spPr>
                </pic:pic>
              </a:graphicData>
            </a:graphic>
            <wp14:sizeRelH relativeFrom="page">
              <wp14:pctWidth>0</wp14:pctWidth>
            </wp14:sizeRelH>
            <wp14:sizeRelV relativeFrom="page">
              <wp14:pctHeight>0</wp14:pctHeight>
            </wp14:sizeRelV>
          </wp:anchor>
        </w:drawing>
      </w:r>
    </w:p>
    <w:p w:rsidR="004A0427" w:rsidRDefault="004A0427" w:rsidP="004839DF">
      <w:pPr>
        <w:spacing w:line="620" w:lineRule="exact"/>
        <w:rPr>
          <w:rFonts w:hint="eastAsia"/>
        </w:rPr>
      </w:pPr>
    </w:p>
    <w:p w:rsidR="004A0427" w:rsidRDefault="004A0427" w:rsidP="004839DF">
      <w:pPr>
        <w:spacing w:line="620" w:lineRule="exact"/>
        <w:sectPr w:rsidR="004A0427" w:rsidSect="007A6486">
          <w:headerReference w:type="default" r:id="rId8"/>
          <w:footerReference w:type="even" r:id="rId9"/>
          <w:footerReference w:type="default" r:id="rId10"/>
          <w:pgSz w:w="11906" w:h="16838"/>
          <w:pgMar w:top="1814" w:right="1531" w:bottom="1758" w:left="1531" w:header="851" w:footer="1701" w:gutter="0"/>
          <w:pgNumType w:fmt="numberInDash"/>
          <w:cols w:space="720"/>
          <w:docGrid w:linePitch="634"/>
        </w:sectPr>
      </w:pPr>
    </w:p>
    <w:p w:rsidR="00DE22ED" w:rsidRDefault="00DE22ED" w:rsidP="00DE22ED">
      <w:pPr>
        <w:spacing w:line="560" w:lineRule="exact"/>
        <w:jc w:val="left"/>
        <w:rPr>
          <w:rFonts w:ascii="黑体" w:eastAsia="黑体" w:hAnsi="黑体" w:cs="方正小标宋简体"/>
          <w:sz w:val="32"/>
          <w:szCs w:val="32"/>
        </w:rPr>
      </w:pPr>
      <w:r>
        <w:rPr>
          <w:rFonts w:ascii="黑体" w:eastAsia="黑体" w:hAnsi="黑体" w:cs="方正小标宋简体" w:hint="eastAsia"/>
          <w:sz w:val="32"/>
          <w:szCs w:val="32"/>
        </w:rPr>
        <w:lastRenderedPageBreak/>
        <w:t>附件</w:t>
      </w:r>
    </w:p>
    <w:p w:rsidR="00DE22ED" w:rsidRPr="001A5952" w:rsidRDefault="00DE22ED" w:rsidP="00DE22ED">
      <w:pPr>
        <w:spacing w:beforeLines="50" w:before="120" w:afterLines="50" w:after="120" w:line="560" w:lineRule="exact"/>
        <w:jc w:val="center"/>
        <w:rPr>
          <w:rFonts w:ascii="方正小标宋简体" w:eastAsia="方正小标宋简体" w:hAnsi="宋体" w:cs="方正小标宋简体"/>
          <w:sz w:val="44"/>
          <w:szCs w:val="44"/>
        </w:rPr>
      </w:pPr>
      <w:r w:rsidRPr="001A5952">
        <w:rPr>
          <w:rFonts w:ascii="方正小标宋简体" w:eastAsia="方正小标宋简体" w:hAnsi="宋体" w:cs="方正小标宋简体" w:hint="eastAsia"/>
          <w:sz w:val="44"/>
          <w:szCs w:val="44"/>
        </w:rPr>
        <w:t>2021年各市秸秆综合利用工作任务清单</w:t>
      </w:r>
    </w:p>
    <w:tbl>
      <w:tblPr>
        <w:tblW w:w="138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99"/>
        <w:gridCol w:w="1486"/>
        <w:gridCol w:w="1185"/>
        <w:gridCol w:w="999"/>
        <w:gridCol w:w="1247"/>
        <w:gridCol w:w="3886"/>
        <w:gridCol w:w="1930"/>
        <w:gridCol w:w="1184"/>
        <w:gridCol w:w="1207"/>
      </w:tblGrid>
      <w:tr w:rsidR="00DE22ED" w:rsidRPr="00CD0A54" w:rsidTr="00B17BA4">
        <w:trPr>
          <w:trHeight w:val="464"/>
          <w:jc w:val="center"/>
        </w:trPr>
        <w:tc>
          <w:tcPr>
            <w:tcW w:w="699" w:type="dxa"/>
            <w:vMerge w:val="restart"/>
            <w:shd w:val="clear" w:color="auto" w:fill="auto"/>
            <w:vAlign w:val="center"/>
          </w:tcPr>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市</w:t>
            </w:r>
          </w:p>
        </w:tc>
        <w:tc>
          <w:tcPr>
            <w:tcW w:w="10733" w:type="dxa"/>
            <w:gridSpan w:val="6"/>
            <w:shd w:val="clear" w:color="auto" w:fill="auto"/>
            <w:vAlign w:val="center"/>
          </w:tcPr>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产出指标</w:t>
            </w:r>
          </w:p>
        </w:tc>
        <w:tc>
          <w:tcPr>
            <w:tcW w:w="2391" w:type="dxa"/>
            <w:gridSpan w:val="2"/>
            <w:shd w:val="clear" w:color="auto" w:fill="auto"/>
            <w:vAlign w:val="center"/>
          </w:tcPr>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效益指标</w:t>
            </w:r>
          </w:p>
        </w:tc>
      </w:tr>
      <w:tr w:rsidR="00DE22ED" w:rsidRPr="00CD0A54" w:rsidTr="00B17BA4">
        <w:trPr>
          <w:trHeight w:val="464"/>
          <w:jc w:val="center"/>
        </w:trPr>
        <w:tc>
          <w:tcPr>
            <w:tcW w:w="699" w:type="dxa"/>
            <w:vMerge/>
            <w:shd w:val="clear" w:color="auto" w:fill="auto"/>
            <w:vAlign w:val="center"/>
          </w:tcPr>
          <w:p w:rsidR="00DE22ED" w:rsidRPr="001A5952" w:rsidRDefault="00DE22ED" w:rsidP="00B17BA4">
            <w:pPr>
              <w:spacing w:line="240" w:lineRule="exact"/>
              <w:jc w:val="center"/>
              <w:rPr>
                <w:rFonts w:ascii="宋体" w:hAnsi="宋体" w:cs="方正小标宋简体"/>
                <w:bCs/>
                <w:szCs w:val="21"/>
              </w:rPr>
            </w:pPr>
          </w:p>
        </w:tc>
        <w:tc>
          <w:tcPr>
            <w:tcW w:w="4917" w:type="dxa"/>
            <w:gridSpan w:val="4"/>
            <w:shd w:val="clear" w:color="auto" w:fill="auto"/>
            <w:vAlign w:val="center"/>
          </w:tcPr>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数量指标</w:t>
            </w:r>
          </w:p>
        </w:tc>
        <w:tc>
          <w:tcPr>
            <w:tcW w:w="5816" w:type="dxa"/>
            <w:gridSpan w:val="2"/>
            <w:shd w:val="clear" w:color="auto" w:fill="auto"/>
            <w:vAlign w:val="center"/>
          </w:tcPr>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质量指标</w:t>
            </w:r>
          </w:p>
        </w:tc>
        <w:tc>
          <w:tcPr>
            <w:tcW w:w="2391" w:type="dxa"/>
            <w:gridSpan w:val="2"/>
            <w:shd w:val="clear" w:color="auto" w:fill="auto"/>
            <w:vAlign w:val="center"/>
          </w:tcPr>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社会效益指标</w:t>
            </w:r>
          </w:p>
        </w:tc>
      </w:tr>
      <w:tr w:rsidR="00DE22ED" w:rsidRPr="00CD0A54" w:rsidTr="00B17BA4">
        <w:trPr>
          <w:trHeight w:val="1189"/>
          <w:jc w:val="center"/>
        </w:trPr>
        <w:tc>
          <w:tcPr>
            <w:tcW w:w="699" w:type="dxa"/>
            <w:vMerge/>
            <w:shd w:val="clear" w:color="auto" w:fill="auto"/>
            <w:vAlign w:val="center"/>
          </w:tcPr>
          <w:p w:rsidR="00DE22ED" w:rsidRPr="001A5952" w:rsidRDefault="00DE22ED" w:rsidP="00B17BA4">
            <w:pPr>
              <w:spacing w:line="240" w:lineRule="exact"/>
              <w:jc w:val="center"/>
              <w:rPr>
                <w:rFonts w:ascii="宋体" w:hAnsi="宋体" w:cs="方正小标宋简体"/>
                <w:bCs/>
                <w:szCs w:val="21"/>
              </w:rPr>
            </w:pPr>
          </w:p>
        </w:tc>
        <w:tc>
          <w:tcPr>
            <w:tcW w:w="1486" w:type="dxa"/>
            <w:shd w:val="clear" w:color="auto" w:fill="auto"/>
            <w:vAlign w:val="center"/>
          </w:tcPr>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编制“十四五”秸秆综合利用实施方案</w:t>
            </w:r>
          </w:p>
        </w:tc>
        <w:tc>
          <w:tcPr>
            <w:tcW w:w="1185" w:type="dxa"/>
            <w:shd w:val="clear" w:color="auto" w:fill="auto"/>
            <w:vAlign w:val="center"/>
          </w:tcPr>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编制2021年度实施方案</w:t>
            </w:r>
          </w:p>
        </w:tc>
        <w:tc>
          <w:tcPr>
            <w:tcW w:w="999" w:type="dxa"/>
            <w:shd w:val="clear" w:color="auto" w:fill="auto"/>
            <w:vAlign w:val="center"/>
          </w:tcPr>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建设秸秆综合利用重点县</w:t>
            </w:r>
          </w:p>
        </w:tc>
        <w:tc>
          <w:tcPr>
            <w:tcW w:w="1245" w:type="dxa"/>
            <w:shd w:val="clear" w:color="auto" w:fill="auto"/>
            <w:vAlign w:val="center"/>
          </w:tcPr>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以县为单位建设秸秆</w:t>
            </w:r>
          </w:p>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资源台账</w:t>
            </w:r>
          </w:p>
        </w:tc>
        <w:tc>
          <w:tcPr>
            <w:tcW w:w="3886" w:type="dxa"/>
            <w:shd w:val="clear" w:color="auto" w:fill="auto"/>
            <w:vAlign w:val="center"/>
          </w:tcPr>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重点县秸秆综合利用率</w:t>
            </w:r>
          </w:p>
        </w:tc>
        <w:tc>
          <w:tcPr>
            <w:tcW w:w="1929" w:type="dxa"/>
            <w:shd w:val="clear" w:color="auto" w:fill="auto"/>
            <w:vAlign w:val="center"/>
          </w:tcPr>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探索有效运行机制和模式（建设补偿制度县、全量利用县、产业模式县）</w:t>
            </w:r>
          </w:p>
        </w:tc>
        <w:tc>
          <w:tcPr>
            <w:tcW w:w="1184" w:type="dxa"/>
            <w:shd w:val="clear" w:color="auto" w:fill="auto"/>
            <w:vAlign w:val="center"/>
          </w:tcPr>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组织编制</w:t>
            </w:r>
          </w:p>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本市秸秆</w:t>
            </w:r>
          </w:p>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还田技术</w:t>
            </w:r>
          </w:p>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规程</w:t>
            </w:r>
          </w:p>
        </w:tc>
        <w:tc>
          <w:tcPr>
            <w:tcW w:w="1206" w:type="dxa"/>
            <w:shd w:val="clear" w:color="auto" w:fill="auto"/>
            <w:vAlign w:val="center"/>
          </w:tcPr>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市级以上</w:t>
            </w:r>
          </w:p>
          <w:p w:rsidR="00DE22ED" w:rsidRPr="001A5952" w:rsidRDefault="00DE22ED" w:rsidP="00B17BA4">
            <w:pPr>
              <w:spacing w:line="240" w:lineRule="exact"/>
              <w:jc w:val="center"/>
              <w:rPr>
                <w:rFonts w:ascii="宋体" w:hAnsi="宋体" w:cs="方正小标宋简体"/>
                <w:bCs/>
                <w:szCs w:val="21"/>
              </w:rPr>
            </w:pPr>
            <w:r w:rsidRPr="001A5952">
              <w:rPr>
                <w:rFonts w:ascii="宋体" w:hAnsi="宋体" w:cs="方正小标宋简体" w:hint="eastAsia"/>
                <w:bCs/>
                <w:szCs w:val="21"/>
              </w:rPr>
              <w:t>媒体宣传（次）</w:t>
            </w:r>
          </w:p>
        </w:tc>
      </w:tr>
      <w:tr w:rsidR="00DE22ED" w:rsidRPr="00CD0A54" w:rsidTr="00B17BA4">
        <w:trPr>
          <w:trHeight w:val="309"/>
          <w:jc w:val="center"/>
        </w:trPr>
        <w:tc>
          <w:tcPr>
            <w:tcW w:w="699" w:type="dxa"/>
            <w:shd w:val="clear" w:color="auto" w:fill="auto"/>
            <w:vAlign w:val="center"/>
          </w:tcPr>
          <w:p w:rsidR="00DE22ED" w:rsidRPr="001A5952" w:rsidRDefault="00DE22ED" w:rsidP="00B17BA4">
            <w:pPr>
              <w:spacing w:line="240" w:lineRule="exact"/>
              <w:jc w:val="center"/>
              <w:rPr>
                <w:rFonts w:ascii="宋体" w:hAnsi="宋体"/>
                <w:szCs w:val="21"/>
              </w:rPr>
            </w:pPr>
            <w:r w:rsidRPr="001A5952">
              <w:rPr>
                <w:rFonts w:ascii="宋体" w:hAnsi="宋体" w:hint="eastAsia"/>
                <w:szCs w:val="21"/>
              </w:rPr>
              <w:t>太原</w:t>
            </w:r>
          </w:p>
        </w:tc>
        <w:tc>
          <w:tcPr>
            <w:tcW w:w="14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18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99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清徐县</w:t>
            </w:r>
          </w:p>
        </w:tc>
        <w:tc>
          <w:tcPr>
            <w:tcW w:w="124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38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达到9</w:t>
            </w:r>
            <w:r w:rsidRPr="001A5952">
              <w:rPr>
                <w:rFonts w:ascii="宋体" w:hAnsi="宋体" w:cs="方正小标宋简体"/>
                <w:szCs w:val="21"/>
              </w:rPr>
              <w:t>0%</w:t>
            </w:r>
            <w:r w:rsidRPr="001A5952">
              <w:rPr>
                <w:rFonts w:ascii="宋体" w:hAnsi="宋体" w:cs="方正小标宋简体" w:hint="eastAsia"/>
                <w:szCs w:val="21"/>
              </w:rPr>
              <w:t>以上或比上年</w:t>
            </w:r>
            <w:r>
              <w:rPr>
                <w:rFonts w:ascii="宋体" w:hAnsi="宋体" w:cs="方正小标宋简体" w:hint="eastAsia"/>
                <w:szCs w:val="21"/>
              </w:rPr>
              <w:t>提高</w:t>
            </w:r>
            <w:r w:rsidRPr="001A5952">
              <w:rPr>
                <w:rFonts w:ascii="宋体" w:hAnsi="宋体" w:cs="方正小标宋简体" w:hint="eastAsia"/>
                <w:szCs w:val="21"/>
              </w:rPr>
              <w:t>5个百分点</w:t>
            </w:r>
          </w:p>
        </w:tc>
        <w:tc>
          <w:tcPr>
            <w:tcW w:w="192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p>
        </w:tc>
        <w:tc>
          <w:tcPr>
            <w:tcW w:w="1184"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20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w:t>
            </w:r>
            <w:r w:rsidRPr="001A5952">
              <w:rPr>
                <w:rFonts w:ascii="宋体" w:hAnsi="宋体" w:cs="方正小标宋简体"/>
                <w:szCs w:val="21"/>
              </w:rPr>
              <w:t>2</w:t>
            </w:r>
          </w:p>
        </w:tc>
      </w:tr>
      <w:tr w:rsidR="00DE22ED" w:rsidRPr="00CD0A54" w:rsidTr="00B17BA4">
        <w:trPr>
          <w:trHeight w:val="309"/>
          <w:jc w:val="center"/>
        </w:trPr>
        <w:tc>
          <w:tcPr>
            <w:tcW w:w="699" w:type="dxa"/>
            <w:shd w:val="clear" w:color="auto" w:fill="auto"/>
            <w:vAlign w:val="center"/>
          </w:tcPr>
          <w:p w:rsidR="00DE22ED" w:rsidRPr="001A5952" w:rsidRDefault="00DE22ED" w:rsidP="00B17BA4">
            <w:pPr>
              <w:spacing w:line="240" w:lineRule="exact"/>
              <w:jc w:val="center"/>
              <w:rPr>
                <w:rFonts w:ascii="宋体" w:hAnsi="宋体"/>
                <w:szCs w:val="21"/>
              </w:rPr>
            </w:pPr>
            <w:r w:rsidRPr="001A5952">
              <w:rPr>
                <w:rFonts w:ascii="宋体" w:hAnsi="宋体" w:hint="eastAsia"/>
                <w:szCs w:val="21"/>
              </w:rPr>
              <w:t>大同</w:t>
            </w:r>
          </w:p>
        </w:tc>
        <w:tc>
          <w:tcPr>
            <w:tcW w:w="14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18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99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浑源县</w:t>
            </w:r>
          </w:p>
        </w:tc>
        <w:tc>
          <w:tcPr>
            <w:tcW w:w="124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38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达到95%</w:t>
            </w:r>
          </w:p>
        </w:tc>
        <w:tc>
          <w:tcPr>
            <w:tcW w:w="192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产业模式县</w:t>
            </w:r>
          </w:p>
        </w:tc>
        <w:tc>
          <w:tcPr>
            <w:tcW w:w="1184"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20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w:t>
            </w:r>
            <w:r w:rsidRPr="001A5952">
              <w:rPr>
                <w:rFonts w:ascii="宋体" w:hAnsi="宋体" w:cs="方正小标宋简体"/>
                <w:szCs w:val="21"/>
              </w:rPr>
              <w:t>2</w:t>
            </w:r>
          </w:p>
        </w:tc>
      </w:tr>
      <w:tr w:rsidR="00DE22ED" w:rsidRPr="00CD0A54" w:rsidTr="00B17BA4">
        <w:trPr>
          <w:trHeight w:val="327"/>
          <w:jc w:val="center"/>
        </w:trPr>
        <w:tc>
          <w:tcPr>
            <w:tcW w:w="699" w:type="dxa"/>
            <w:shd w:val="clear" w:color="auto" w:fill="auto"/>
            <w:vAlign w:val="center"/>
          </w:tcPr>
          <w:p w:rsidR="00DE22ED" w:rsidRPr="001A5952" w:rsidRDefault="00DE22ED" w:rsidP="00B17BA4">
            <w:pPr>
              <w:spacing w:line="240" w:lineRule="exact"/>
              <w:jc w:val="center"/>
              <w:rPr>
                <w:rFonts w:ascii="宋体" w:hAnsi="宋体"/>
                <w:szCs w:val="21"/>
              </w:rPr>
            </w:pPr>
            <w:r w:rsidRPr="001A5952">
              <w:rPr>
                <w:rFonts w:ascii="宋体" w:hAnsi="宋体" w:hint="eastAsia"/>
                <w:szCs w:val="21"/>
              </w:rPr>
              <w:t>阳泉</w:t>
            </w:r>
          </w:p>
        </w:tc>
        <w:tc>
          <w:tcPr>
            <w:tcW w:w="14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18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99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p>
        </w:tc>
        <w:tc>
          <w:tcPr>
            <w:tcW w:w="124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38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p>
        </w:tc>
        <w:tc>
          <w:tcPr>
            <w:tcW w:w="192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p>
        </w:tc>
        <w:tc>
          <w:tcPr>
            <w:tcW w:w="1184"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20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p>
        </w:tc>
      </w:tr>
      <w:tr w:rsidR="00DE22ED" w:rsidRPr="00CD0A54" w:rsidTr="00B17BA4">
        <w:trPr>
          <w:trHeight w:val="309"/>
          <w:jc w:val="center"/>
        </w:trPr>
        <w:tc>
          <w:tcPr>
            <w:tcW w:w="699" w:type="dxa"/>
            <w:shd w:val="clear" w:color="auto" w:fill="auto"/>
            <w:vAlign w:val="center"/>
          </w:tcPr>
          <w:p w:rsidR="00DE22ED" w:rsidRPr="001A5952" w:rsidRDefault="00DE22ED" w:rsidP="00B17BA4">
            <w:pPr>
              <w:spacing w:line="240" w:lineRule="exact"/>
              <w:jc w:val="center"/>
              <w:rPr>
                <w:rFonts w:ascii="宋体" w:hAnsi="宋体"/>
                <w:szCs w:val="21"/>
              </w:rPr>
            </w:pPr>
            <w:r w:rsidRPr="001A5952">
              <w:rPr>
                <w:rFonts w:ascii="宋体" w:hAnsi="宋体" w:hint="eastAsia"/>
                <w:szCs w:val="21"/>
              </w:rPr>
              <w:t>长治</w:t>
            </w:r>
          </w:p>
        </w:tc>
        <w:tc>
          <w:tcPr>
            <w:tcW w:w="14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18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99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潞城区</w:t>
            </w:r>
          </w:p>
        </w:tc>
        <w:tc>
          <w:tcPr>
            <w:tcW w:w="124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38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达到95%</w:t>
            </w:r>
            <w:r w:rsidRPr="001A5952">
              <w:rPr>
                <w:rFonts w:ascii="宋体" w:hAnsi="宋体" w:cs="方正小标宋简体"/>
                <w:szCs w:val="21"/>
              </w:rPr>
              <w:t xml:space="preserve"> </w:t>
            </w:r>
          </w:p>
        </w:tc>
        <w:tc>
          <w:tcPr>
            <w:tcW w:w="192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全量利用县</w:t>
            </w:r>
          </w:p>
        </w:tc>
        <w:tc>
          <w:tcPr>
            <w:tcW w:w="1184"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20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w:t>
            </w:r>
            <w:r w:rsidRPr="001A5952">
              <w:rPr>
                <w:rFonts w:ascii="宋体" w:hAnsi="宋体" w:cs="方正小标宋简体"/>
                <w:szCs w:val="21"/>
              </w:rPr>
              <w:t>2</w:t>
            </w:r>
          </w:p>
        </w:tc>
      </w:tr>
      <w:tr w:rsidR="00DE22ED" w:rsidRPr="00CD0A54" w:rsidTr="00B17BA4">
        <w:trPr>
          <w:trHeight w:val="638"/>
          <w:jc w:val="center"/>
        </w:trPr>
        <w:tc>
          <w:tcPr>
            <w:tcW w:w="699" w:type="dxa"/>
            <w:shd w:val="clear" w:color="auto" w:fill="auto"/>
            <w:vAlign w:val="center"/>
          </w:tcPr>
          <w:p w:rsidR="00DE22ED" w:rsidRPr="001A5952" w:rsidRDefault="00DE22ED" w:rsidP="00B17BA4">
            <w:pPr>
              <w:spacing w:line="240" w:lineRule="exact"/>
              <w:jc w:val="center"/>
              <w:rPr>
                <w:rFonts w:ascii="宋体" w:hAnsi="宋体"/>
                <w:szCs w:val="21"/>
              </w:rPr>
            </w:pPr>
            <w:r w:rsidRPr="001A5952">
              <w:rPr>
                <w:rFonts w:ascii="宋体" w:hAnsi="宋体" w:hint="eastAsia"/>
                <w:szCs w:val="21"/>
              </w:rPr>
              <w:t>晋城</w:t>
            </w:r>
          </w:p>
        </w:tc>
        <w:tc>
          <w:tcPr>
            <w:tcW w:w="14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18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99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陵川县</w:t>
            </w:r>
          </w:p>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阳城县</w:t>
            </w:r>
          </w:p>
        </w:tc>
        <w:tc>
          <w:tcPr>
            <w:tcW w:w="124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38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达到90%以上或比上年</w:t>
            </w:r>
            <w:r>
              <w:rPr>
                <w:rFonts w:ascii="宋体" w:hAnsi="宋体" w:cs="方正小标宋简体" w:hint="eastAsia"/>
                <w:szCs w:val="21"/>
              </w:rPr>
              <w:t>提高</w:t>
            </w:r>
            <w:r w:rsidRPr="001A5952">
              <w:rPr>
                <w:rFonts w:ascii="宋体" w:hAnsi="宋体" w:cs="方正小标宋简体" w:hint="eastAsia"/>
                <w:szCs w:val="21"/>
              </w:rPr>
              <w:t>5个百分点</w:t>
            </w:r>
          </w:p>
        </w:tc>
        <w:tc>
          <w:tcPr>
            <w:tcW w:w="192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p>
        </w:tc>
        <w:tc>
          <w:tcPr>
            <w:tcW w:w="1184"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20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w:t>
            </w:r>
            <w:r w:rsidRPr="001A5952">
              <w:rPr>
                <w:rFonts w:ascii="宋体" w:hAnsi="宋体" w:cs="方正小标宋简体"/>
                <w:szCs w:val="21"/>
              </w:rPr>
              <w:t>3</w:t>
            </w:r>
          </w:p>
        </w:tc>
      </w:tr>
      <w:tr w:rsidR="00DE22ED" w:rsidRPr="00CD0A54" w:rsidTr="00B17BA4">
        <w:trPr>
          <w:trHeight w:val="638"/>
          <w:jc w:val="center"/>
        </w:trPr>
        <w:tc>
          <w:tcPr>
            <w:tcW w:w="699" w:type="dxa"/>
            <w:shd w:val="clear" w:color="auto" w:fill="auto"/>
            <w:vAlign w:val="center"/>
          </w:tcPr>
          <w:p w:rsidR="00DE22ED" w:rsidRPr="001A5952" w:rsidRDefault="00DE22ED" w:rsidP="00B17BA4">
            <w:pPr>
              <w:spacing w:line="240" w:lineRule="exact"/>
              <w:jc w:val="center"/>
              <w:rPr>
                <w:rFonts w:ascii="宋体" w:hAnsi="宋体"/>
                <w:szCs w:val="21"/>
              </w:rPr>
            </w:pPr>
            <w:r w:rsidRPr="001A5952">
              <w:rPr>
                <w:rFonts w:ascii="宋体" w:hAnsi="宋体" w:hint="eastAsia"/>
                <w:szCs w:val="21"/>
              </w:rPr>
              <w:t>朔州</w:t>
            </w:r>
          </w:p>
        </w:tc>
        <w:tc>
          <w:tcPr>
            <w:tcW w:w="14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18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99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怀仁市</w:t>
            </w:r>
          </w:p>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山阴县</w:t>
            </w:r>
          </w:p>
        </w:tc>
        <w:tc>
          <w:tcPr>
            <w:tcW w:w="124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38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达到90%以上或比上年</w:t>
            </w:r>
            <w:r>
              <w:rPr>
                <w:rFonts w:ascii="宋体" w:hAnsi="宋体" w:cs="方正小标宋简体" w:hint="eastAsia"/>
                <w:szCs w:val="21"/>
              </w:rPr>
              <w:t>提高</w:t>
            </w:r>
            <w:r w:rsidRPr="001A5952">
              <w:rPr>
                <w:rFonts w:ascii="宋体" w:hAnsi="宋体" w:cs="方正小标宋简体" w:hint="eastAsia"/>
                <w:szCs w:val="21"/>
              </w:rPr>
              <w:t>5个百分点</w:t>
            </w:r>
          </w:p>
        </w:tc>
        <w:tc>
          <w:tcPr>
            <w:tcW w:w="192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p>
        </w:tc>
        <w:tc>
          <w:tcPr>
            <w:tcW w:w="1184"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20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w:t>
            </w:r>
            <w:r w:rsidRPr="001A5952">
              <w:rPr>
                <w:rFonts w:ascii="宋体" w:hAnsi="宋体" w:cs="方正小标宋简体"/>
                <w:szCs w:val="21"/>
              </w:rPr>
              <w:t>3</w:t>
            </w:r>
          </w:p>
        </w:tc>
      </w:tr>
      <w:tr w:rsidR="00DE22ED" w:rsidRPr="00CD0A54" w:rsidTr="00B17BA4">
        <w:trPr>
          <w:trHeight w:val="630"/>
          <w:jc w:val="center"/>
        </w:trPr>
        <w:tc>
          <w:tcPr>
            <w:tcW w:w="699" w:type="dxa"/>
            <w:shd w:val="clear" w:color="auto" w:fill="auto"/>
            <w:vAlign w:val="center"/>
          </w:tcPr>
          <w:p w:rsidR="00DE22ED" w:rsidRPr="001A5952" w:rsidRDefault="00DE22ED" w:rsidP="00B17BA4">
            <w:pPr>
              <w:spacing w:line="240" w:lineRule="exact"/>
              <w:jc w:val="center"/>
              <w:rPr>
                <w:rFonts w:ascii="宋体" w:hAnsi="宋体"/>
                <w:szCs w:val="21"/>
              </w:rPr>
            </w:pPr>
            <w:r w:rsidRPr="001A5952">
              <w:rPr>
                <w:rFonts w:ascii="宋体" w:hAnsi="宋体" w:hint="eastAsia"/>
                <w:szCs w:val="21"/>
              </w:rPr>
              <w:t>晋中</w:t>
            </w:r>
          </w:p>
        </w:tc>
        <w:tc>
          <w:tcPr>
            <w:tcW w:w="14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18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99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昔阳县</w:t>
            </w:r>
          </w:p>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灵石县</w:t>
            </w:r>
          </w:p>
        </w:tc>
        <w:tc>
          <w:tcPr>
            <w:tcW w:w="124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38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达到90%以上或比上年</w:t>
            </w:r>
            <w:r>
              <w:rPr>
                <w:rFonts w:ascii="宋体" w:hAnsi="宋体" w:cs="方正小标宋简体" w:hint="eastAsia"/>
                <w:szCs w:val="21"/>
              </w:rPr>
              <w:t>提高</w:t>
            </w:r>
            <w:r w:rsidRPr="001A5952">
              <w:rPr>
                <w:rFonts w:ascii="宋体" w:hAnsi="宋体" w:cs="方正小标宋简体" w:hint="eastAsia"/>
                <w:szCs w:val="21"/>
              </w:rPr>
              <w:t>5个百分点</w:t>
            </w:r>
          </w:p>
        </w:tc>
        <w:tc>
          <w:tcPr>
            <w:tcW w:w="192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p>
        </w:tc>
        <w:tc>
          <w:tcPr>
            <w:tcW w:w="1184"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20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w:t>
            </w:r>
            <w:r w:rsidRPr="001A5952">
              <w:rPr>
                <w:rFonts w:ascii="宋体" w:hAnsi="宋体" w:cs="方正小标宋简体"/>
                <w:szCs w:val="21"/>
              </w:rPr>
              <w:t>3</w:t>
            </w:r>
          </w:p>
        </w:tc>
      </w:tr>
      <w:tr w:rsidR="00DE22ED" w:rsidRPr="00CD0A54" w:rsidTr="00B17BA4">
        <w:trPr>
          <w:trHeight w:val="309"/>
          <w:jc w:val="center"/>
        </w:trPr>
        <w:tc>
          <w:tcPr>
            <w:tcW w:w="699" w:type="dxa"/>
            <w:shd w:val="clear" w:color="auto" w:fill="auto"/>
            <w:vAlign w:val="center"/>
          </w:tcPr>
          <w:p w:rsidR="00DE22ED" w:rsidRPr="001A5952" w:rsidRDefault="00DE22ED" w:rsidP="00B17BA4">
            <w:pPr>
              <w:spacing w:line="240" w:lineRule="exact"/>
              <w:jc w:val="center"/>
              <w:rPr>
                <w:rFonts w:ascii="宋体" w:hAnsi="宋体"/>
                <w:szCs w:val="21"/>
              </w:rPr>
            </w:pPr>
            <w:r w:rsidRPr="001A5952">
              <w:rPr>
                <w:rFonts w:ascii="宋体" w:hAnsi="宋体" w:hint="eastAsia"/>
                <w:szCs w:val="21"/>
              </w:rPr>
              <w:t>运城</w:t>
            </w:r>
          </w:p>
        </w:tc>
        <w:tc>
          <w:tcPr>
            <w:tcW w:w="14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18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99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河津市</w:t>
            </w:r>
          </w:p>
        </w:tc>
        <w:tc>
          <w:tcPr>
            <w:tcW w:w="124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38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达到95%</w:t>
            </w:r>
          </w:p>
        </w:tc>
        <w:tc>
          <w:tcPr>
            <w:tcW w:w="192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补偿制度县</w:t>
            </w:r>
          </w:p>
        </w:tc>
        <w:tc>
          <w:tcPr>
            <w:tcW w:w="1184"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20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w:t>
            </w:r>
            <w:r w:rsidRPr="001A5952">
              <w:rPr>
                <w:rFonts w:ascii="宋体" w:hAnsi="宋体" w:cs="方正小标宋简体"/>
                <w:szCs w:val="21"/>
              </w:rPr>
              <w:t>2</w:t>
            </w:r>
          </w:p>
        </w:tc>
      </w:tr>
      <w:tr w:rsidR="00DE22ED" w:rsidRPr="00CD0A54" w:rsidTr="00B17BA4">
        <w:trPr>
          <w:trHeight w:val="638"/>
          <w:jc w:val="center"/>
        </w:trPr>
        <w:tc>
          <w:tcPr>
            <w:tcW w:w="699" w:type="dxa"/>
            <w:shd w:val="clear" w:color="auto" w:fill="auto"/>
            <w:vAlign w:val="center"/>
          </w:tcPr>
          <w:p w:rsidR="00DE22ED" w:rsidRPr="001A5952" w:rsidRDefault="00DE22ED" w:rsidP="00B17BA4">
            <w:pPr>
              <w:spacing w:line="240" w:lineRule="exact"/>
              <w:jc w:val="center"/>
              <w:rPr>
                <w:rFonts w:ascii="宋体" w:hAnsi="宋体"/>
                <w:szCs w:val="21"/>
              </w:rPr>
            </w:pPr>
            <w:r w:rsidRPr="001A5952">
              <w:rPr>
                <w:rFonts w:ascii="宋体" w:hAnsi="宋体" w:hint="eastAsia"/>
                <w:szCs w:val="21"/>
              </w:rPr>
              <w:t>忻州</w:t>
            </w:r>
          </w:p>
        </w:tc>
        <w:tc>
          <w:tcPr>
            <w:tcW w:w="14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18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99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五寨县</w:t>
            </w:r>
          </w:p>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岢岚县</w:t>
            </w:r>
          </w:p>
        </w:tc>
        <w:tc>
          <w:tcPr>
            <w:tcW w:w="124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38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达到90%以上或比上年</w:t>
            </w:r>
            <w:r>
              <w:rPr>
                <w:rFonts w:ascii="宋体" w:hAnsi="宋体" w:cs="方正小标宋简体" w:hint="eastAsia"/>
                <w:szCs w:val="21"/>
              </w:rPr>
              <w:t>提高</w:t>
            </w:r>
            <w:r w:rsidRPr="001A5952">
              <w:rPr>
                <w:rFonts w:ascii="宋体" w:hAnsi="宋体" w:cs="方正小标宋简体" w:hint="eastAsia"/>
                <w:szCs w:val="21"/>
              </w:rPr>
              <w:t>5个百分点</w:t>
            </w:r>
          </w:p>
        </w:tc>
        <w:tc>
          <w:tcPr>
            <w:tcW w:w="192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p>
        </w:tc>
        <w:tc>
          <w:tcPr>
            <w:tcW w:w="1184"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20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w:t>
            </w:r>
            <w:r w:rsidRPr="001A5952">
              <w:rPr>
                <w:rFonts w:ascii="宋体" w:hAnsi="宋体" w:cs="方正小标宋简体"/>
                <w:szCs w:val="21"/>
              </w:rPr>
              <w:t>3</w:t>
            </w:r>
          </w:p>
        </w:tc>
      </w:tr>
      <w:tr w:rsidR="00DE22ED" w:rsidRPr="00CD0A54" w:rsidTr="00B17BA4">
        <w:trPr>
          <w:trHeight w:val="327"/>
          <w:jc w:val="center"/>
        </w:trPr>
        <w:tc>
          <w:tcPr>
            <w:tcW w:w="699" w:type="dxa"/>
            <w:shd w:val="clear" w:color="auto" w:fill="auto"/>
            <w:vAlign w:val="center"/>
          </w:tcPr>
          <w:p w:rsidR="00DE22ED" w:rsidRPr="001A5952" w:rsidRDefault="00DE22ED" w:rsidP="00B17BA4">
            <w:pPr>
              <w:spacing w:line="240" w:lineRule="exact"/>
              <w:jc w:val="center"/>
              <w:rPr>
                <w:rFonts w:ascii="宋体" w:hAnsi="宋体"/>
                <w:szCs w:val="21"/>
              </w:rPr>
            </w:pPr>
            <w:r w:rsidRPr="001A5952">
              <w:rPr>
                <w:rFonts w:ascii="宋体" w:hAnsi="宋体" w:hint="eastAsia"/>
                <w:szCs w:val="21"/>
              </w:rPr>
              <w:t>临汾</w:t>
            </w:r>
          </w:p>
        </w:tc>
        <w:tc>
          <w:tcPr>
            <w:tcW w:w="14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18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99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曲沃县</w:t>
            </w:r>
          </w:p>
        </w:tc>
        <w:tc>
          <w:tcPr>
            <w:tcW w:w="124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38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达到90%以上或比上年</w:t>
            </w:r>
            <w:r>
              <w:rPr>
                <w:rFonts w:ascii="宋体" w:hAnsi="宋体" w:cs="方正小标宋简体" w:hint="eastAsia"/>
                <w:szCs w:val="21"/>
              </w:rPr>
              <w:t>提高</w:t>
            </w:r>
            <w:r w:rsidRPr="001A5952">
              <w:rPr>
                <w:rFonts w:ascii="宋体" w:hAnsi="宋体" w:cs="方正小标宋简体" w:hint="eastAsia"/>
                <w:szCs w:val="21"/>
              </w:rPr>
              <w:t>5个百分点</w:t>
            </w:r>
          </w:p>
        </w:tc>
        <w:tc>
          <w:tcPr>
            <w:tcW w:w="192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p>
        </w:tc>
        <w:tc>
          <w:tcPr>
            <w:tcW w:w="1184"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20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w:t>
            </w:r>
            <w:r w:rsidRPr="001A5952">
              <w:rPr>
                <w:rFonts w:ascii="宋体" w:hAnsi="宋体" w:cs="方正小标宋简体"/>
                <w:szCs w:val="21"/>
              </w:rPr>
              <w:t>2</w:t>
            </w:r>
          </w:p>
        </w:tc>
      </w:tr>
      <w:tr w:rsidR="00DE22ED" w:rsidRPr="00CD0A54" w:rsidTr="00B17BA4">
        <w:trPr>
          <w:trHeight w:val="414"/>
          <w:jc w:val="center"/>
        </w:trPr>
        <w:tc>
          <w:tcPr>
            <w:tcW w:w="699" w:type="dxa"/>
            <w:shd w:val="clear" w:color="auto" w:fill="auto"/>
            <w:vAlign w:val="center"/>
          </w:tcPr>
          <w:p w:rsidR="00DE22ED" w:rsidRPr="001A5952" w:rsidRDefault="00DE22ED" w:rsidP="00B17BA4">
            <w:pPr>
              <w:spacing w:line="240" w:lineRule="exact"/>
              <w:jc w:val="center"/>
              <w:rPr>
                <w:rFonts w:ascii="宋体" w:hAnsi="宋体"/>
                <w:szCs w:val="21"/>
              </w:rPr>
            </w:pPr>
            <w:r w:rsidRPr="001A5952">
              <w:rPr>
                <w:rFonts w:ascii="宋体" w:hAnsi="宋体" w:hint="eastAsia"/>
                <w:szCs w:val="21"/>
              </w:rPr>
              <w:t>吕梁</w:t>
            </w:r>
          </w:p>
        </w:tc>
        <w:tc>
          <w:tcPr>
            <w:tcW w:w="14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18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99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 xml:space="preserve">岚 </w:t>
            </w:r>
            <w:r w:rsidRPr="001A5952">
              <w:rPr>
                <w:rFonts w:ascii="宋体" w:hAnsi="宋体" w:cs="方正小标宋简体"/>
                <w:szCs w:val="21"/>
              </w:rPr>
              <w:t xml:space="preserve"> </w:t>
            </w:r>
            <w:r w:rsidRPr="001A5952">
              <w:rPr>
                <w:rFonts w:ascii="宋体" w:hAnsi="宋体" w:cs="方正小标宋简体" w:hint="eastAsia"/>
                <w:szCs w:val="21"/>
              </w:rPr>
              <w:t>县</w:t>
            </w:r>
          </w:p>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 xml:space="preserve">兴 </w:t>
            </w:r>
            <w:r w:rsidRPr="001A5952">
              <w:rPr>
                <w:rFonts w:ascii="宋体" w:hAnsi="宋体" w:cs="方正小标宋简体"/>
                <w:szCs w:val="21"/>
              </w:rPr>
              <w:t xml:space="preserve"> </w:t>
            </w:r>
            <w:r w:rsidRPr="001A5952">
              <w:rPr>
                <w:rFonts w:ascii="宋体" w:hAnsi="宋体" w:cs="方正小标宋简体" w:hint="eastAsia"/>
                <w:szCs w:val="21"/>
              </w:rPr>
              <w:t>县</w:t>
            </w:r>
          </w:p>
        </w:tc>
        <w:tc>
          <w:tcPr>
            <w:tcW w:w="1245"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388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达到90%以上或比上年</w:t>
            </w:r>
            <w:r>
              <w:rPr>
                <w:rFonts w:ascii="宋体" w:hAnsi="宋体" w:cs="方正小标宋简体" w:hint="eastAsia"/>
                <w:szCs w:val="21"/>
              </w:rPr>
              <w:t>提高</w:t>
            </w:r>
            <w:r w:rsidRPr="001A5952">
              <w:rPr>
                <w:rFonts w:ascii="宋体" w:hAnsi="宋体" w:cs="方正小标宋简体" w:hint="eastAsia"/>
                <w:szCs w:val="21"/>
              </w:rPr>
              <w:t>5个百分点</w:t>
            </w:r>
          </w:p>
        </w:tc>
        <w:tc>
          <w:tcPr>
            <w:tcW w:w="1929"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p>
        </w:tc>
        <w:tc>
          <w:tcPr>
            <w:tcW w:w="1184"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1套</w:t>
            </w:r>
          </w:p>
        </w:tc>
        <w:tc>
          <w:tcPr>
            <w:tcW w:w="1206" w:type="dxa"/>
            <w:shd w:val="clear" w:color="auto" w:fill="auto"/>
            <w:vAlign w:val="center"/>
          </w:tcPr>
          <w:p w:rsidR="00DE22ED" w:rsidRPr="001A5952" w:rsidRDefault="00DE22ED" w:rsidP="00B17BA4">
            <w:pPr>
              <w:spacing w:line="240" w:lineRule="exact"/>
              <w:jc w:val="center"/>
              <w:rPr>
                <w:rFonts w:ascii="宋体" w:hAnsi="宋体" w:cs="方正小标宋简体"/>
                <w:szCs w:val="21"/>
              </w:rPr>
            </w:pPr>
            <w:r w:rsidRPr="001A5952">
              <w:rPr>
                <w:rFonts w:ascii="宋体" w:hAnsi="宋体" w:cs="方正小标宋简体" w:hint="eastAsia"/>
                <w:szCs w:val="21"/>
              </w:rPr>
              <w:t>≥</w:t>
            </w:r>
            <w:r w:rsidRPr="001A5952">
              <w:rPr>
                <w:rFonts w:ascii="宋体" w:hAnsi="宋体" w:cs="方正小标宋简体"/>
                <w:szCs w:val="21"/>
              </w:rPr>
              <w:t>3</w:t>
            </w:r>
          </w:p>
        </w:tc>
      </w:tr>
    </w:tbl>
    <w:p w:rsidR="00DE22ED" w:rsidRDefault="00DE22ED" w:rsidP="00DE22ED">
      <w:pPr>
        <w:tabs>
          <w:tab w:val="right" w:pos="9070"/>
        </w:tabs>
        <w:spacing w:line="590" w:lineRule="exact"/>
        <w:jc w:val="center"/>
        <w:rPr>
          <w:rFonts w:ascii="仿宋_GB2312" w:eastAsia="仿宋_GB2312"/>
          <w:color w:val="000000"/>
          <w:sz w:val="32"/>
          <w:szCs w:val="32"/>
        </w:rPr>
        <w:sectPr w:rsidR="00DE22ED" w:rsidSect="00CD0A54">
          <w:headerReference w:type="default" r:id="rId11"/>
          <w:footerReference w:type="even" r:id="rId12"/>
          <w:footerReference w:type="default" r:id="rId13"/>
          <w:pgSz w:w="16838" w:h="11906" w:orient="landscape" w:code="9"/>
          <w:pgMar w:top="1531" w:right="1701" w:bottom="1531" w:left="1701" w:header="851" w:footer="1418" w:gutter="0"/>
          <w:pgNumType w:fmt="numberInDash"/>
          <w:cols w:space="720"/>
          <w:docGrid w:linePitch="634"/>
        </w:sectPr>
      </w:pPr>
    </w:p>
    <w:p w:rsidR="007211DF" w:rsidRDefault="0084023B" w:rsidP="004A0427">
      <w:bookmarkStart w:id="0" w:name="_GoBack"/>
      <w:bookmarkEnd w:id="0"/>
    </w:p>
    <w:sectPr w:rsidR="007211D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023B" w:rsidRDefault="0084023B">
      <w:r>
        <w:separator/>
      </w:r>
    </w:p>
  </w:endnote>
  <w:endnote w:type="continuationSeparator" w:id="0">
    <w:p w:rsidR="0084023B" w:rsidRDefault="008402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粗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486" w:rsidRPr="004B4B43" w:rsidRDefault="004839DF" w:rsidP="00F32CDF">
    <w:pPr>
      <w:pStyle w:val="a3"/>
      <w:framePr w:wrap="around" w:vAnchor="text" w:hAnchor="margin" w:xAlign="outside" w:y="1"/>
      <w:ind w:leftChars="100" w:left="210" w:rightChars="100" w:right="210"/>
      <w:rPr>
        <w:rStyle w:val="a5"/>
        <w:rFonts w:ascii="宋体" w:hAnsi="宋体"/>
        <w:sz w:val="28"/>
        <w:szCs w:val="28"/>
      </w:rPr>
    </w:pPr>
    <w:r w:rsidRPr="004B4B43">
      <w:rPr>
        <w:rFonts w:ascii="宋体" w:hAnsi="宋体"/>
        <w:sz w:val="28"/>
        <w:szCs w:val="28"/>
      </w:rPr>
      <w:fldChar w:fldCharType="begin"/>
    </w:r>
    <w:r w:rsidRPr="004B4B43">
      <w:rPr>
        <w:rStyle w:val="a5"/>
        <w:rFonts w:ascii="宋体" w:hAnsi="宋体"/>
        <w:sz w:val="28"/>
        <w:szCs w:val="28"/>
      </w:rPr>
      <w:instrText xml:space="preserve">PAGE  </w:instrText>
    </w:r>
    <w:r w:rsidRPr="004B4B43">
      <w:rPr>
        <w:rFonts w:ascii="宋体" w:hAnsi="宋体"/>
        <w:sz w:val="28"/>
        <w:szCs w:val="28"/>
      </w:rPr>
      <w:fldChar w:fldCharType="separate"/>
    </w:r>
    <w:r>
      <w:rPr>
        <w:rStyle w:val="a5"/>
        <w:rFonts w:ascii="宋体" w:hAnsi="宋体"/>
        <w:noProof/>
        <w:sz w:val="28"/>
        <w:szCs w:val="28"/>
      </w:rPr>
      <w:t>- 12 -</w:t>
    </w:r>
    <w:r w:rsidRPr="004B4B43">
      <w:rPr>
        <w:rFonts w:ascii="宋体" w:hAnsi="宋体"/>
        <w:sz w:val="28"/>
        <w:szCs w:val="28"/>
      </w:rPr>
      <w:fldChar w:fldCharType="end"/>
    </w:r>
  </w:p>
  <w:p w:rsidR="007A6486" w:rsidRDefault="0084023B" w:rsidP="00F32CDF">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2CDF" w:rsidRPr="00F32CDF" w:rsidRDefault="004839DF" w:rsidP="00F32CDF">
    <w:pPr>
      <w:pStyle w:val="a3"/>
      <w:ind w:leftChars="100" w:left="210" w:rightChars="100" w:right="210"/>
      <w:jc w:val="right"/>
      <w:rPr>
        <w:rFonts w:ascii="宋体" w:hAnsi="宋体"/>
        <w:sz w:val="28"/>
        <w:szCs w:val="28"/>
      </w:rPr>
    </w:pPr>
    <w:r w:rsidRPr="00F32CDF">
      <w:fldChar w:fldCharType="begin"/>
    </w:r>
    <w:r>
      <w:instrText>PAGE   \* MERGEFORMAT</w:instrText>
    </w:r>
    <w:r w:rsidRPr="00F32CDF">
      <w:fldChar w:fldCharType="separate"/>
    </w:r>
    <w:r w:rsidR="00DE22ED" w:rsidRPr="00DE22ED">
      <w:rPr>
        <w:rFonts w:ascii="宋体" w:hAnsi="宋体"/>
        <w:noProof/>
        <w:sz w:val="28"/>
        <w:szCs w:val="28"/>
        <w:lang w:val="zh-CN"/>
      </w:rPr>
      <w:t>-</w:t>
    </w:r>
    <w:r w:rsidR="00DE22ED">
      <w:rPr>
        <w:noProof/>
      </w:rPr>
      <w:t xml:space="preserve"> 13 -</w:t>
    </w:r>
    <w:r w:rsidRPr="00F32CDF">
      <w:rPr>
        <w:rFonts w:ascii="宋体" w:hAnsi="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22ED" w:rsidRPr="001A5952" w:rsidRDefault="00DE22ED" w:rsidP="00CD0A54">
    <w:pPr>
      <w:pStyle w:val="a3"/>
      <w:framePr w:wrap="around" w:vAnchor="text" w:hAnchor="margin" w:xAlign="outside" w:y="1"/>
      <w:ind w:leftChars="100" w:left="210" w:rightChars="100" w:right="210"/>
      <w:rPr>
        <w:rStyle w:val="a5"/>
        <w:rFonts w:ascii="宋体" w:hAnsi="宋体"/>
        <w:sz w:val="28"/>
        <w:szCs w:val="28"/>
      </w:rPr>
    </w:pPr>
    <w:r w:rsidRPr="001A5952">
      <w:rPr>
        <w:rFonts w:ascii="宋体" w:hAnsi="宋体"/>
        <w:sz w:val="28"/>
        <w:szCs w:val="28"/>
      </w:rPr>
      <w:fldChar w:fldCharType="begin"/>
    </w:r>
    <w:r w:rsidRPr="001A5952">
      <w:rPr>
        <w:rStyle w:val="a5"/>
        <w:rFonts w:ascii="宋体" w:hAnsi="宋体"/>
        <w:sz w:val="28"/>
        <w:szCs w:val="28"/>
      </w:rPr>
      <w:instrText xml:space="preserve">PAGE  </w:instrText>
    </w:r>
    <w:r w:rsidRPr="001A5952">
      <w:rPr>
        <w:rFonts w:ascii="宋体" w:hAnsi="宋体"/>
        <w:sz w:val="28"/>
        <w:szCs w:val="28"/>
      </w:rPr>
      <w:fldChar w:fldCharType="separate"/>
    </w:r>
    <w:r>
      <w:rPr>
        <w:rStyle w:val="a5"/>
        <w:rFonts w:ascii="宋体" w:hAnsi="宋体"/>
        <w:noProof/>
        <w:sz w:val="28"/>
        <w:szCs w:val="28"/>
      </w:rPr>
      <w:t>- 6 -</w:t>
    </w:r>
    <w:r w:rsidRPr="001A5952">
      <w:rPr>
        <w:rFonts w:ascii="宋体" w:hAnsi="宋体"/>
        <w:sz w:val="28"/>
        <w:szCs w:val="28"/>
      </w:rPr>
      <w:fldChar w:fldCharType="end"/>
    </w:r>
  </w:p>
  <w:p w:rsidR="00DE22ED" w:rsidRDefault="00DE22ED" w:rsidP="00CD0A54">
    <w:pPr>
      <w:pStyle w:val="a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22ED" w:rsidRPr="00B41A8E" w:rsidRDefault="00DE22ED" w:rsidP="00B41A8E">
    <w:pPr>
      <w:pStyle w:val="a3"/>
      <w:framePr w:wrap="around" w:vAnchor="text" w:hAnchor="margin" w:xAlign="outside" w:y="1"/>
      <w:ind w:leftChars="100" w:left="210" w:rightChars="100" w:right="210"/>
      <w:rPr>
        <w:rStyle w:val="a5"/>
        <w:rFonts w:ascii="宋体" w:hAnsi="宋体"/>
        <w:sz w:val="28"/>
        <w:szCs w:val="28"/>
      </w:rPr>
    </w:pPr>
    <w:r w:rsidRPr="00B41A8E">
      <w:rPr>
        <w:rStyle w:val="a5"/>
        <w:rFonts w:ascii="宋体" w:hAnsi="宋体"/>
        <w:sz w:val="28"/>
        <w:szCs w:val="28"/>
      </w:rPr>
      <w:fldChar w:fldCharType="begin"/>
    </w:r>
    <w:r w:rsidRPr="00B41A8E">
      <w:rPr>
        <w:rStyle w:val="a5"/>
        <w:rFonts w:ascii="宋体" w:hAnsi="宋体"/>
        <w:sz w:val="28"/>
        <w:szCs w:val="28"/>
      </w:rPr>
      <w:instrText xml:space="preserve">PAGE  </w:instrText>
    </w:r>
    <w:r w:rsidRPr="00B41A8E">
      <w:rPr>
        <w:rStyle w:val="a5"/>
        <w:rFonts w:ascii="宋体" w:hAnsi="宋体"/>
        <w:sz w:val="28"/>
        <w:szCs w:val="28"/>
      </w:rPr>
      <w:fldChar w:fldCharType="separate"/>
    </w:r>
    <w:r>
      <w:rPr>
        <w:rStyle w:val="a5"/>
        <w:rFonts w:ascii="宋体" w:hAnsi="宋体"/>
        <w:noProof/>
        <w:sz w:val="28"/>
        <w:szCs w:val="28"/>
      </w:rPr>
      <w:t>- 14 -</w:t>
    </w:r>
    <w:r w:rsidRPr="00B41A8E">
      <w:rPr>
        <w:rStyle w:val="a5"/>
        <w:rFonts w:ascii="宋体" w:hAnsi="宋体"/>
        <w:sz w:val="28"/>
        <w:szCs w:val="28"/>
      </w:rPr>
      <w:fldChar w:fldCharType="end"/>
    </w:r>
  </w:p>
  <w:p w:rsidR="00DE22ED" w:rsidRDefault="00DE22ED" w:rsidP="00B41A8E">
    <w:pPr>
      <w:pStyle w:val="a3"/>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023B" w:rsidRDefault="0084023B">
      <w:r>
        <w:separator/>
      </w:r>
    </w:p>
  </w:footnote>
  <w:footnote w:type="continuationSeparator" w:id="0">
    <w:p w:rsidR="0084023B" w:rsidRDefault="008402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486" w:rsidRDefault="0084023B">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22ED" w:rsidRDefault="00DE22ED" w:rsidP="00CB2482">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9DF"/>
    <w:rsid w:val="00066754"/>
    <w:rsid w:val="004839DF"/>
    <w:rsid w:val="004A0427"/>
    <w:rsid w:val="005C1B9E"/>
    <w:rsid w:val="00783854"/>
    <w:rsid w:val="0084023B"/>
    <w:rsid w:val="00DE22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9D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4839DF"/>
    <w:pPr>
      <w:tabs>
        <w:tab w:val="center" w:pos="4153"/>
        <w:tab w:val="right" w:pos="8306"/>
      </w:tabs>
      <w:snapToGrid w:val="0"/>
      <w:jc w:val="left"/>
    </w:pPr>
    <w:rPr>
      <w:sz w:val="18"/>
    </w:rPr>
  </w:style>
  <w:style w:type="character" w:customStyle="1" w:styleId="Char">
    <w:name w:val="页脚 Char"/>
    <w:basedOn w:val="a0"/>
    <w:link w:val="a3"/>
    <w:uiPriority w:val="99"/>
    <w:rsid w:val="004839DF"/>
    <w:rPr>
      <w:rFonts w:ascii="Times New Roman" w:eastAsia="宋体" w:hAnsi="Times New Roman" w:cs="Times New Roman"/>
      <w:sz w:val="18"/>
      <w:szCs w:val="20"/>
    </w:rPr>
  </w:style>
  <w:style w:type="paragraph" w:styleId="a4">
    <w:name w:val="header"/>
    <w:basedOn w:val="a"/>
    <w:link w:val="Char0"/>
    <w:qFormat/>
    <w:rsid w:val="004839D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0">
    <w:name w:val="页眉 Char"/>
    <w:basedOn w:val="a0"/>
    <w:link w:val="a4"/>
    <w:qFormat/>
    <w:rsid w:val="004839DF"/>
    <w:rPr>
      <w:rFonts w:ascii="Times New Roman" w:eastAsia="宋体" w:hAnsi="Times New Roman" w:cs="Times New Roman"/>
      <w:sz w:val="18"/>
      <w:szCs w:val="20"/>
    </w:rPr>
  </w:style>
  <w:style w:type="character" w:styleId="a5">
    <w:name w:val="page number"/>
    <w:basedOn w:val="a0"/>
    <w:qFormat/>
    <w:rsid w:val="004839DF"/>
  </w:style>
  <w:style w:type="paragraph" w:styleId="a6">
    <w:name w:val="Normal (Web)"/>
    <w:basedOn w:val="a"/>
    <w:qFormat/>
    <w:rsid w:val="004839DF"/>
    <w:pPr>
      <w:spacing w:beforeAutospacing="1" w:afterAutospacing="1"/>
      <w:jc w:val="left"/>
    </w:pPr>
    <w:rPr>
      <w:rFonts w:ascii="Calibri" w:hAnsi="Calibri"/>
      <w:kern w:val="0"/>
      <w:sz w:val="24"/>
      <w:szCs w:val="24"/>
    </w:rPr>
  </w:style>
  <w:style w:type="paragraph" w:styleId="a7">
    <w:name w:val="Balloon Text"/>
    <w:basedOn w:val="a"/>
    <w:link w:val="Char1"/>
    <w:uiPriority w:val="99"/>
    <w:semiHidden/>
    <w:unhideWhenUsed/>
    <w:rsid w:val="004A0427"/>
    <w:rPr>
      <w:sz w:val="18"/>
      <w:szCs w:val="18"/>
    </w:rPr>
  </w:style>
  <w:style w:type="character" w:customStyle="1" w:styleId="Char1">
    <w:name w:val="批注框文本 Char"/>
    <w:basedOn w:val="a0"/>
    <w:link w:val="a7"/>
    <w:uiPriority w:val="99"/>
    <w:semiHidden/>
    <w:rsid w:val="004A0427"/>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9D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4839DF"/>
    <w:pPr>
      <w:tabs>
        <w:tab w:val="center" w:pos="4153"/>
        <w:tab w:val="right" w:pos="8306"/>
      </w:tabs>
      <w:snapToGrid w:val="0"/>
      <w:jc w:val="left"/>
    </w:pPr>
    <w:rPr>
      <w:sz w:val="18"/>
    </w:rPr>
  </w:style>
  <w:style w:type="character" w:customStyle="1" w:styleId="Char">
    <w:name w:val="页脚 Char"/>
    <w:basedOn w:val="a0"/>
    <w:link w:val="a3"/>
    <w:uiPriority w:val="99"/>
    <w:rsid w:val="004839DF"/>
    <w:rPr>
      <w:rFonts w:ascii="Times New Roman" w:eastAsia="宋体" w:hAnsi="Times New Roman" w:cs="Times New Roman"/>
      <w:sz w:val="18"/>
      <w:szCs w:val="20"/>
    </w:rPr>
  </w:style>
  <w:style w:type="paragraph" w:styleId="a4">
    <w:name w:val="header"/>
    <w:basedOn w:val="a"/>
    <w:link w:val="Char0"/>
    <w:qFormat/>
    <w:rsid w:val="004839D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0">
    <w:name w:val="页眉 Char"/>
    <w:basedOn w:val="a0"/>
    <w:link w:val="a4"/>
    <w:qFormat/>
    <w:rsid w:val="004839DF"/>
    <w:rPr>
      <w:rFonts w:ascii="Times New Roman" w:eastAsia="宋体" w:hAnsi="Times New Roman" w:cs="Times New Roman"/>
      <w:sz w:val="18"/>
      <w:szCs w:val="20"/>
    </w:rPr>
  </w:style>
  <w:style w:type="character" w:styleId="a5">
    <w:name w:val="page number"/>
    <w:basedOn w:val="a0"/>
    <w:qFormat/>
    <w:rsid w:val="004839DF"/>
  </w:style>
  <w:style w:type="paragraph" w:styleId="a6">
    <w:name w:val="Normal (Web)"/>
    <w:basedOn w:val="a"/>
    <w:qFormat/>
    <w:rsid w:val="004839DF"/>
    <w:pPr>
      <w:spacing w:beforeAutospacing="1" w:afterAutospacing="1"/>
      <w:jc w:val="left"/>
    </w:pPr>
    <w:rPr>
      <w:rFonts w:ascii="Calibri" w:hAnsi="Calibri"/>
      <w:kern w:val="0"/>
      <w:sz w:val="24"/>
      <w:szCs w:val="24"/>
    </w:rPr>
  </w:style>
  <w:style w:type="paragraph" w:styleId="a7">
    <w:name w:val="Balloon Text"/>
    <w:basedOn w:val="a"/>
    <w:link w:val="Char1"/>
    <w:uiPriority w:val="99"/>
    <w:semiHidden/>
    <w:unhideWhenUsed/>
    <w:rsid w:val="004A0427"/>
    <w:rPr>
      <w:sz w:val="18"/>
      <w:szCs w:val="18"/>
    </w:rPr>
  </w:style>
  <w:style w:type="character" w:customStyle="1" w:styleId="Char1">
    <w:name w:val="批注框文本 Char"/>
    <w:basedOn w:val="a0"/>
    <w:link w:val="a7"/>
    <w:uiPriority w:val="99"/>
    <w:semiHidden/>
    <w:rsid w:val="004A042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15</Pages>
  <Words>1190</Words>
  <Characters>6788</Characters>
  <Application>Microsoft Office Word</Application>
  <DocSecurity>0</DocSecurity>
  <Lines>56</Lines>
  <Paragraphs>15</Paragraphs>
  <ScaleCrop>false</ScaleCrop>
  <Company>MS</Company>
  <LinksUpToDate>false</LinksUpToDate>
  <CharactersWithSpaces>7963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MLN</dc:creator>
  <cp:lastModifiedBy>xb21cn</cp:lastModifiedBy>
  <cp:revision>5</cp:revision>
  <dcterms:created xsi:type="dcterms:W3CDTF">2021-06-08T08:27:00Z</dcterms:created>
  <dcterms:modified xsi:type="dcterms:W3CDTF">2021-06-08T08:47:00Z</dcterms:modified>
</cp:coreProperties>
</file>