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EB2" w:rsidRDefault="002C1EB2" w:rsidP="002C1EB2">
      <w:pPr>
        <w:pStyle w:val="a3"/>
        <w:shd w:val="clear" w:color="auto" w:fill="FFFFFF"/>
        <w:spacing w:before="0" w:beforeAutospacing="0" w:after="0" w:afterAutospacing="0"/>
        <w:jc w:val="center"/>
        <w:rPr>
          <w:rFonts w:ascii="微软雅黑" w:eastAsia="微软雅黑" w:hAnsi="微软雅黑"/>
          <w:color w:val="000000"/>
        </w:rPr>
      </w:pPr>
      <w:bookmarkStart w:id="0" w:name="_GoBack"/>
      <w:r>
        <w:rPr>
          <w:rFonts w:ascii="微软雅黑" w:eastAsia="微软雅黑" w:hAnsi="微软雅黑" w:hint="eastAsia"/>
          <w:color w:val="000000"/>
        </w:rPr>
        <w:t>国家发展改革委等部门关于严格能效约束推动重点领域</w:t>
      </w:r>
      <w:r>
        <w:rPr>
          <w:rStyle w:val="a4"/>
          <w:rFonts w:ascii="微软雅黑" w:eastAsia="微软雅黑" w:hAnsi="微软雅黑" w:hint="eastAsia"/>
          <w:color w:val="000000"/>
        </w:rPr>
        <w:t>节能降碳</w:t>
      </w:r>
      <w:r>
        <w:rPr>
          <w:rFonts w:ascii="微软雅黑" w:eastAsia="微软雅黑" w:hAnsi="微软雅黑" w:hint="eastAsia"/>
          <w:color w:val="000000"/>
        </w:rPr>
        <w:t>的若干意见</w:t>
      </w:r>
      <w:bookmarkEnd w:id="0"/>
      <w:r>
        <w:rPr>
          <w:rFonts w:ascii="微软雅黑" w:eastAsia="微软雅黑" w:hAnsi="微软雅黑" w:hint="eastAsia"/>
          <w:color w:val="000000"/>
        </w:rPr>
        <w:br/>
      </w:r>
      <w:r>
        <w:rPr>
          <w:rFonts w:ascii="微软雅黑" w:eastAsia="微软雅黑" w:hAnsi="微软雅黑" w:hint="eastAsia"/>
          <w:color w:val="000000"/>
          <w:sz w:val="12"/>
          <w:szCs w:val="12"/>
        </w:rPr>
        <w:t>发改产业〔2021〕1464号</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科技部、财政部、人民银行、证监会，各省、自治区、直辖市及计划单列市、新疆生产建设兵团发展改革委、工业和信息化厅（局）、生态环境厅（局）、市场监管局（厅、委）、能源局：</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现碳达峰、碳中和，是以习近平同志为核心的党中央统筹国内国际两个大局，着眼建设制造强国、推动高质量发展作出的重大战略决策。为推动重点工业领域节能降碳和绿色转型，坚决遏制全国“两高”项目盲目发展，确保如期实现碳达峰目标，提出如下意见。</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深入贯彻习近平生态文明思想，全面贯彻党的十九大和十九届二中、三中、四中、五中全会精神，立足新发展阶段，完整、准确、全面贯彻新发展理念，构建新发展格局，科学处理发展和减排、整体和局部、短期和中长期的关系，突出标准引领作用，深挖节能降碳技术改造潜力，强化系统观念，推进综合施策，严格监督管理，加快重点领域节能降碳步伐，带动全行业绿色低碳转型，确保如期实现碳达峰目标。</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（二）基本原则。</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坚持重点突破、分步实施。把握发展规律，抓住主要矛盾，选择综合条件较好的重点行业，率先开展节能降碳技术改造。待重点行业取得实质性进展、相关机制运行成熟后，再研究推广至其他行业和产品领域。</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坚持从高定标、分类指导。密切跟踪国内外先进水平，明确重点行业能效标杆水平。根据各行业实际情况及发展预期，科学设定能效基准水平。引导未达到基准水平的企业，对照标杆水平实施改造升级。</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对标改造、从严监管。对标国内外领先企业，适时修订节能标准，加强节能降碳工艺技术开发，推动高能耗企业实施技术改造。压实企业主体责任，落实属地监管责任，加强企业能耗和碳排放日常监测，建立健全违规行为监督问责机制。</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综合施策、平稳有序。整合已有政策工具，加强财政、金融、投资、价格等政策与产业、环保政策的协调配合，运用市场化法治化方式，稳妥有序推动重点领域节能降碳。避免“一刀切”管理和“运动式”减碳，确保产业链供应链安全和经济社会平稳运行。</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（三）主要目标。</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通过实施节能降碳行动，钢铁、电解铝、水泥、平板玻璃、炼油、乙烯、合成氨、电石等重点行业和数据中心达到标杆水平的产能比例超过30%，行业整体能效水平明显提升，碳排放强度明显下降，绿色低碳发展能力显著增强。</w:t>
      </w:r>
      <w:r>
        <w:rPr>
          <w:rFonts w:ascii="微软雅黑" w:eastAsia="微软雅黑" w:hAnsi="微软雅黑" w:hint="eastAsia"/>
          <w:color w:val="000000"/>
        </w:rPr>
        <w:br/>
        <w:t>到2030年，重点行业能效基准水平和标杆水平进一步提高，达到标杆水平企业比例大幅提升，行业整体能效水平和碳排放强度达到国际先进水平，为如期实现碳达峰目标提供有力支撑。</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二、重点任务</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（一）突出抓好重点行业。</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分步实施、有序推进重点行业节能降碳工作，首批聚焦能源消耗占比较高、改造条件相对成熟、示范带动作用明显的钢铁、电解铝、水泥、平板玻璃、炼油、乙烯、合成氨、电石等重点行业和数据中心组织实施。分行业研究制定具体行动方案，明确节能降碳主要目标和重点任务。待上述行业取得阶段性突破、相关机制运行成熟后，再视情况研究选取下一批主攻行业，稳扎稳打，压茬推进。</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（二）科学确定能效水平。</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本着“就高不就低”的原则，对标国内外生产企业先进能效水平，确定各行业能效标杆水平，以此作为企业技术改造的目标方向。在此基础上，参考国家现行节能标准确定的准入值和限定值，根据行业实际情况、发展预期、生产装置整体能效水平等，统筹考虑如期实现碳达峰目标、保持生产供给平稳、便于企业操作实施等因素，科学划定各行业能效基准水平。</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（三）严格实施分类管理。</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认真排查在建项目，对能效水平低于本行业能耗限额准入值的，按照有关规定停工整改，推动提升能效水平，力争达到标杆水平。科学评估拟建项目，对产能已经饱和的行业按照“减量置换”原则压减产能，对产能尚未饱和的行业，要对标国际先进水平提高准入门槛，对能耗较大的新兴产业要支持引导企业应用绿色技术、提高能效水平。加快改造升级存量项目，坚决淘汰落后产能、落后工艺、落后产品。</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（四）稳妥推进改造升级。</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动重点行业存量项目开展节能降碳技术改造，合理设置政策实施过渡期，按照“整体推进、一企一策”的要求，各地分别制定省级节能降碳技术改造总体实施方案和企业具体工作方案，明确推进步骤、改造期限、技术路线、工作节点、</w:t>
      </w:r>
      <w:r>
        <w:rPr>
          <w:rFonts w:ascii="微软雅黑" w:eastAsia="微软雅黑" w:hAnsi="微软雅黑" w:hint="eastAsia"/>
          <w:color w:val="000000"/>
        </w:rPr>
        <w:lastRenderedPageBreak/>
        <w:t>预期目标等，确保政策稳妥有序实施。鼓励国有企业、骨干企业发挥引领作用，开展节能降碳示范性改造。改造过程中，在落实产能置换等要求前提下，鼓励企业实施兼并重组。</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（五）加强技术攻关应用。</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系统梳理重点行业改造提升的技术难点和装备短板，充分利用科研院所、行业协会和骨干企业的创新资源，推动绿色低碳共性关键技术、前沿引领技术、颠覆性技术和相关设施装备攻关。借助重点行业节能降碳技术改造有利时机，加快先进成熟绿色低碳技术装备推广应用，提高重点行业技术装备绿色化、智能化水平，促进形成强大国内市场。</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（六）强化支撑体系建设。</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做好产业布局、结构调整、“三线一单”生态环境分区管控、环境准入、节能审查与能耗双控政策的衔接，推动产业集中集约集聚发展，鼓励不同行业和产业链上下游融合发展。组织开展企业技术改造阶段性评估，对照重点行业能效标杆和基准水平，开展相关领域标准的制修订、宣贯和推广应用工作。顺应行业技术装备发展趋势，研究建立动态提高能效标杆水平和基准水平机制。建立健全重点行业能效和碳排放监测与评价体系，健全完善企业能效和碳排放核算、计量、报告、核查和评价机制。</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（七）加强数据中心绿色高质量发展。</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鼓励重点行业利用绿色数据中心等新型基础设施实现节能降耗。新建大型、超大型数据中心电能利用效率不超过1.3。到2025年，数据中心电能利用效率普遍不超过1.5。加快优化数据中心建设布局，新建大型、超大型数据中心原则上布局在国家枢纽节点数据中心集群范围内。各地要统筹好在建和拟建数据中心</w:t>
      </w:r>
      <w:r>
        <w:rPr>
          <w:rFonts w:ascii="微软雅黑" w:eastAsia="微软雅黑" w:hAnsi="微软雅黑" w:hint="eastAsia"/>
          <w:color w:val="000000"/>
        </w:rPr>
        <w:lastRenderedPageBreak/>
        <w:t>项目，设置合理过渡期，确保平稳有序发展。对于在国家枢纽节点之外新建的数据中心，地方政府不得给予土地、财税等方面的优惠政策。</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三、保障措施</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（一）完善技改支持政策。</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落实节能专用装备、技术改造、资源综合利用等方面税收优惠政策。积极发展绿色金融，设立碳减排支持工具，支持金融机构在风险可控、商业可持续的前提下，向碳减排效应显著的重点项目提供高质量的金融服务。拓展绿色债券市场的深度和广度，支持符合条件的节能低碳发展企业上市融资和再融资。落实首台（套）重大技术装备示范应用鼓励政策。</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（二）加大监督管理力度。</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对重点行业能效水平执行情况的日常监测和现场检查，发挥各地工业和信息化主管部门作用，加大国家工业专项节能监察工作力度，统筹推进重点行业节能监察，确保相关政策标准落实落地。压实属地监管责任，严格工作问责追究，建立健全通报批评、用能预警、约谈问责、整改督办等工作机制，完善重点行业节能降碳监管体系。发挥信用信息共享平台作用，加强对违规企业的失信联合惩戒。</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（三）更好发挥政策合力。</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格节能降碳相关政策执行，通过绿色电价、节能监察、环保监督执法等手段加大市场调节、督促落实力度。根据实际需要，扩大绿色电价覆盖行业范围，加快相关行业改造升级步伐，提升行业能效水平。严格落实有关产能置换政策，加大闲置产能、僵尸产能处置力度，加速淘汰落后产能。</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（四）加强政策宣传解读。</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充分利用政府部门、行业协会、新闻媒体等渠道，加强政策解读和舆论引导，积极回应社会关切和热点问题，传递以能效水平引领重点领域节能降碳的坚定决心。遴选重点行业能效水平突出企业，发布能效“领跑者”名单，形成一批可借鉴、可复制、可推广的经验，及时进行宣传推介。传播普及绿色生产、低碳环保理念，营造全社会共同推动重点行业节能降碳的良好氛围。</w:t>
      </w:r>
    </w:p>
    <w:p w:rsidR="002C1EB2" w:rsidRDefault="002C1EB2" w:rsidP="002C1E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方要深刻认识推动重点领域节能降碳工作的重要意义，心存“国之大者”，坚持全国“一盘棋”，尽快组织本地区开展重点领域节能降碳工作，合理把握政策实施时机和节奏，避免行业生产供给大起大落，确保抓实抓好抓出成效。</w:t>
      </w:r>
    </w:p>
    <w:p w:rsidR="002C1EB2" w:rsidRDefault="002C1EB2" w:rsidP="002C1EB2">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国家发展改革委</w:t>
      </w:r>
      <w:r>
        <w:rPr>
          <w:rFonts w:ascii="微软雅黑" w:eastAsia="微软雅黑" w:hAnsi="微软雅黑" w:hint="eastAsia"/>
          <w:color w:val="000000"/>
        </w:rPr>
        <w:br/>
        <w:t>工业和信息化部</w:t>
      </w:r>
      <w:r>
        <w:rPr>
          <w:rFonts w:ascii="微软雅黑" w:eastAsia="微软雅黑" w:hAnsi="微软雅黑" w:hint="eastAsia"/>
          <w:color w:val="000000"/>
        </w:rPr>
        <w:br/>
        <w:t>生态环境部</w:t>
      </w:r>
      <w:r>
        <w:rPr>
          <w:rFonts w:ascii="微软雅黑" w:eastAsia="微软雅黑" w:hAnsi="微软雅黑" w:hint="eastAsia"/>
          <w:color w:val="000000"/>
        </w:rPr>
        <w:br/>
        <w:t>市场监管总局</w:t>
      </w:r>
      <w:r>
        <w:rPr>
          <w:rFonts w:ascii="微软雅黑" w:eastAsia="微软雅黑" w:hAnsi="微软雅黑" w:hint="eastAsia"/>
          <w:color w:val="000000"/>
        </w:rPr>
        <w:br/>
        <w:t>国家能源局</w:t>
      </w:r>
      <w:r>
        <w:rPr>
          <w:rFonts w:ascii="微软雅黑" w:eastAsia="微软雅黑" w:hAnsi="微软雅黑" w:hint="eastAsia"/>
          <w:color w:val="000000"/>
        </w:rPr>
        <w:br/>
        <w:t>2021年10月18日</w:t>
      </w:r>
    </w:p>
    <w:p w:rsidR="00623C44" w:rsidRPr="002C1EB2" w:rsidRDefault="00623C44"/>
    <w:sectPr w:rsidR="00623C44" w:rsidRPr="002C1E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EB2"/>
    <w:rsid w:val="000231FC"/>
    <w:rsid w:val="001F6399"/>
    <w:rsid w:val="002C1EB2"/>
    <w:rsid w:val="00623C44"/>
    <w:rsid w:val="007B074F"/>
    <w:rsid w:val="00811C13"/>
    <w:rsid w:val="00BE0DF6"/>
    <w:rsid w:val="00FD0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131F1D-187D-4A64-9260-F5F0761F6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1EB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C1E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671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530</Words>
  <Characters>3025</Characters>
  <Application>Microsoft Office Word</Application>
  <DocSecurity>0</DocSecurity>
  <Lines>25</Lines>
  <Paragraphs>7</Paragraphs>
  <ScaleCrop>false</ScaleCrop>
  <Company>Microsoft</Company>
  <LinksUpToDate>false</LinksUpToDate>
  <CharactersWithSpaces>3548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2021-10-27T02:31:00Z</dcterms:created>
  <dcterms:modified xsi:type="dcterms:W3CDTF">2021-10-27T02:31:00Z</dcterms:modified>
</cp:coreProperties>
</file>