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A564EB" w:rsidRDefault="00A564EB">
      <w:pPr>
        <w:spacing w:line="600" w:lineRule="exact"/>
        <w:contextualSpacing/>
        <w:jc w:val="center"/>
        <w:rPr>
          <w:rFonts w:eastAsia="方正小标宋_GBK"/>
          <w:kern w:val="1"/>
          <w:sz w:val="44"/>
          <w:szCs w:val="44"/>
        </w:rPr>
      </w:pPr>
      <w:bookmarkStart w:id="0" w:name="_GoBack"/>
    </w:p>
    <w:p w:rsidR="00A564EB" w:rsidRDefault="006438FB">
      <w:pPr>
        <w:spacing w:line="600" w:lineRule="exact"/>
        <w:contextualSpacing/>
        <w:jc w:val="center"/>
        <w:rPr>
          <w:rFonts w:eastAsia="方正小标宋_GBK"/>
          <w:kern w:val="1"/>
          <w:sz w:val="44"/>
          <w:szCs w:val="44"/>
        </w:rPr>
      </w:pPr>
      <w:r>
        <w:rPr>
          <w:rFonts w:eastAsia="方正小标宋_GBK"/>
          <w:kern w:val="1"/>
          <w:sz w:val="44"/>
          <w:szCs w:val="44"/>
        </w:rPr>
        <w:t>2021</w:t>
      </w:r>
      <w:r>
        <w:rPr>
          <w:rFonts w:eastAsia="方正小标宋_GBK"/>
          <w:kern w:val="1"/>
          <w:sz w:val="44"/>
          <w:szCs w:val="44"/>
        </w:rPr>
        <w:t>年黑龙江省秸秆综合利用</w:t>
      </w:r>
    </w:p>
    <w:p w:rsidR="00A564EB" w:rsidRDefault="006438FB">
      <w:pPr>
        <w:spacing w:line="600" w:lineRule="exact"/>
        <w:contextualSpacing/>
        <w:jc w:val="center"/>
        <w:rPr>
          <w:rFonts w:eastAsia="仿宋_GB2312"/>
          <w:kern w:val="1"/>
          <w:sz w:val="32"/>
          <w:szCs w:val="32"/>
        </w:rPr>
      </w:pPr>
      <w:r>
        <w:rPr>
          <w:rFonts w:eastAsia="方正小标宋_GBK"/>
          <w:kern w:val="1"/>
          <w:sz w:val="44"/>
          <w:szCs w:val="44"/>
        </w:rPr>
        <w:t>工作实施方案</w:t>
      </w:r>
      <w:r>
        <w:rPr>
          <w:rFonts w:eastAsia="方正小标宋_GBK"/>
          <w:kern w:val="1"/>
          <w:sz w:val="44"/>
          <w:szCs w:val="44"/>
        </w:rPr>
        <w:br/>
      </w:r>
      <w:r>
        <w:rPr>
          <w:rFonts w:eastAsia="仿宋_GB2312"/>
          <w:kern w:val="1"/>
          <w:sz w:val="32"/>
          <w:szCs w:val="32"/>
        </w:rPr>
        <w:t>（</w:t>
      </w:r>
      <w:r>
        <w:rPr>
          <w:rFonts w:eastAsia="仿宋_GB2312" w:hint="eastAsia"/>
          <w:kern w:val="1"/>
          <w:sz w:val="32"/>
          <w:szCs w:val="32"/>
        </w:rPr>
        <w:t>征求意见</w:t>
      </w:r>
      <w:r>
        <w:rPr>
          <w:rFonts w:eastAsia="仿宋_GB2312"/>
          <w:kern w:val="1"/>
          <w:sz w:val="32"/>
          <w:szCs w:val="32"/>
        </w:rPr>
        <w:t>稿）</w:t>
      </w:r>
    </w:p>
    <w:p w:rsidR="00A564EB" w:rsidRDefault="00A564EB">
      <w:pPr>
        <w:pStyle w:val="a0"/>
        <w:spacing w:after="0" w:line="600" w:lineRule="exact"/>
        <w:contextualSpacing/>
      </w:pPr>
    </w:p>
    <w:p w:rsidR="00A564EB" w:rsidRDefault="006438FB">
      <w:pPr>
        <w:spacing w:line="600" w:lineRule="exact"/>
        <w:ind w:firstLineChars="200" w:firstLine="640"/>
        <w:contextualSpacing/>
        <w:jc w:val="left"/>
        <w:rPr>
          <w:rFonts w:eastAsia="仿宋_GB2312"/>
          <w:sz w:val="32"/>
          <w:szCs w:val="32"/>
          <w:shd w:val="clear" w:color="090000" w:fill="FFFFFF"/>
        </w:rPr>
      </w:pPr>
      <w:r>
        <w:rPr>
          <w:rFonts w:eastAsia="仿宋_GB2312"/>
          <w:sz w:val="32"/>
          <w:szCs w:val="32"/>
          <w:shd w:val="clear" w:color="090000" w:fill="FFFFFF"/>
        </w:rPr>
        <w:t>为持续推进我省秸秆综合利用工作，</w:t>
      </w:r>
      <w:r>
        <w:rPr>
          <w:rFonts w:eastAsia="仿宋_GB2312"/>
          <w:sz w:val="32"/>
          <w:szCs w:val="32"/>
        </w:rPr>
        <w:t>提高秸秆还田肥料化利用和离田产业化利用水平，有效促进生态环境改善和农业绿色发展</w:t>
      </w:r>
      <w:r>
        <w:rPr>
          <w:rFonts w:eastAsia="仿宋_GB2312"/>
          <w:sz w:val="32"/>
          <w:szCs w:val="32"/>
          <w:shd w:val="clear" w:color="090000" w:fill="FFFFFF"/>
        </w:rPr>
        <w:t>，特制定本方案。</w:t>
      </w:r>
    </w:p>
    <w:p w:rsidR="00A564EB" w:rsidRDefault="006438FB">
      <w:pPr>
        <w:spacing w:line="600" w:lineRule="exact"/>
        <w:ind w:firstLineChars="200" w:firstLine="640"/>
        <w:contextualSpacing/>
        <w:rPr>
          <w:rFonts w:eastAsia="黑体"/>
          <w:kern w:val="1"/>
          <w:sz w:val="32"/>
          <w:szCs w:val="32"/>
        </w:rPr>
      </w:pPr>
      <w:r>
        <w:rPr>
          <w:rFonts w:eastAsia="黑体"/>
          <w:kern w:val="1"/>
          <w:sz w:val="32"/>
          <w:szCs w:val="32"/>
        </w:rPr>
        <w:t>一、总体思路、原则和目标</w:t>
      </w:r>
    </w:p>
    <w:p w:rsidR="00A564EB" w:rsidRDefault="006438FB">
      <w:pPr>
        <w:shd w:val="solid" w:color="FFFFFF" w:fill="auto"/>
        <w:autoSpaceDN w:val="0"/>
        <w:spacing w:line="600" w:lineRule="exact"/>
        <w:ind w:firstLineChars="200" w:firstLine="640"/>
        <w:contextualSpacing/>
        <w:rPr>
          <w:rFonts w:eastAsia="楷体_GB2312"/>
          <w:sz w:val="32"/>
          <w:szCs w:val="32"/>
          <w:shd w:val="clear" w:color="auto" w:fill="FFFFFF"/>
        </w:rPr>
      </w:pPr>
      <w:r>
        <w:rPr>
          <w:rFonts w:eastAsia="楷体_GB2312"/>
          <w:sz w:val="32"/>
          <w:szCs w:val="32"/>
          <w:shd w:val="clear" w:color="auto" w:fill="FFFFFF"/>
        </w:rPr>
        <w:t>（一）总体思路</w:t>
      </w:r>
    </w:p>
    <w:p w:rsidR="00A564EB" w:rsidRDefault="006438FB">
      <w:pPr>
        <w:spacing w:line="600" w:lineRule="exact"/>
        <w:ind w:firstLineChars="200" w:firstLine="640"/>
        <w:contextualSpacing/>
        <w:rPr>
          <w:rFonts w:eastAsia="仿宋_GB2312"/>
          <w:sz w:val="32"/>
          <w:szCs w:val="32"/>
          <w:shd w:val="clear" w:color="090000" w:fill="FFFFFF"/>
        </w:rPr>
      </w:pPr>
      <w:r>
        <w:rPr>
          <w:rFonts w:eastAsia="仿宋_GB2312"/>
          <w:sz w:val="32"/>
          <w:szCs w:val="32"/>
          <w:shd w:val="clear" w:color="090000" w:fill="FFFFFF"/>
        </w:rPr>
        <w:t>以习近平生态文明思想为指导，牢固树立和贯彻落实绿色发展理念，把加强秸秆综合利用作为防治大气污染、推进绿色发展和实施乡村振兴战略的重点工作来抓，以提高秸秆综合利用率和耕地质量为目标，与黑土地保护相结合，以秸秆还田利用为重点，统筹秸秆还田、过腹转化、清洁能源等利用方式，拓宽利用路径，完善扶持政策，探索建立政府、企业、农民合作共赢的利益联结机制，实现秸秆综合利用水平全面提升。</w:t>
      </w:r>
    </w:p>
    <w:p w:rsidR="00A564EB" w:rsidRDefault="006438FB">
      <w:pPr>
        <w:shd w:val="solid" w:color="FFFFFF" w:fill="auto"/>
        <w:autoSpaceDN w:val="0"/>
        <w:spacing w:line="600" w:lineRule="exact"/>
        <w:ind w:firstLineChars="200" w:firstLine="640"/>
        <w:contextualSpacing/>
        <w:rPr>
          <w:rFonts w:eastAsia="楷体_GB2312"/>
          <w:sz w:val="32"/>
          <w:szCs w:val="32"/>
          <w:shd w:val="clear" w:color="auto" w:fill="FFFFFF"/>
        </w:rPr>
      </w:pPr>
      <w:r>
        <w:rPr>
          <w:rFonts w:eastAsia="楷体_GB2312"/>
          <w:sz w:val="32"/>
          <w:szCs w:val="32"/>
          <w:shd w:val="clear" w:color="auto" w:fill="FFFFFF"/>
        </w:rPr>
        <w:t>（二）基本原则</w:t>
      </w:r>
    </w:p>
    <w:p w:rsidR="00A564EB" w:rsidRDefault="006438FB">
      <w:pPr>
        <w:shd w:val="clear" w:color="040000" w:fill="FFFFFF"/>
        <w:spacing w:line="600" w:lineRule="exact"/>
        <w:ind w:firstLineChars="200" w:firstLine="643"/>
        <w:contextualSpacing/>
        <w:rPr>
          <w:rFonts w:eastAsia="仿宋_GB2312"/>
          <w:bCs/>
          <w:sz w:val="32"/>
          <w:szCs w:val="32"/>
          <w:shd w:val="clear" w:color="090000" w:fill="FFFFFF"/>
        </w:rPr>
      </w:pPr>
      <w:r>
        <w:rPr>
          <w:rFonts w:eastAsia="仿宋_GB2312"/>
          <w:b/>
          <w:sz w:val="32"/>
          <w:szCs w:val="32"/>
          <w:shd w:val="clear" w:color="090000" w:fill="FFFFFF"/>
        </w:rPr>
        <w:t>1.</w:t>
      </w:r>
      <w:r>
        <w:rPr>
          <w:rFonts w:eastAsia="仿宋_GB2312"/>
          <w:b/>
          <w:sz w:val="32"/>
          <w:szCs w:val="32"/>
          <w:shd w:val="clear" w:color="090000" w:fill="FFFFFF"/>
        </w:rPr>
        <w:t>坚持农用优先、聚焦还田。</w:t>
      </w:r>
      <w:r>
        <w:rPr>
          <w:rFonts w:eastAsia="仿宋_GB2312"/>
          <w:bCs/>
          <w:sz w:val="32"/>
          <w:szCs w:val="32"/>
          <w:shd w:val="clear" w:color="090000" w:fill="FFFFFF"/>
        </w:rPr>
        <w:t>优先满足农业生产和农民生活对秸秆肥料、燃料、饲料的需求，突出秸秆还田肥料化利用，促进耕地质量稳步提升，</w:t>
      </w:r>
      <w:r>
        <w:rPr>
          <w:rFonts w:eastAsia="仿宋_GB2312"/>
          <w:sz w:val="32"/>
          <w:szCs w:val="32"/>
          <w:shd w:val="clear" w:color="090000" w:fill="FFFFFF"/>
        </w:rPr>
        <w:t>保护好、利用好黑土地这一耕地中的</w:t>
      </w:r>
      <w:r>
        <w:rPr>
          <w:rFonts w:eastAsia="仿宋_GB2312"/>
          <w:sz w:val="32"/>
          <w:szCs w:val="32"/>
          <w:shd w:val="clear" w:color="090000" w:fill="FFFFFF"/>
        </w:rPr>
        <w:t>“</w:t>
      </w:r>
      <w:r>
        <w:rPr>
          <w:rFonts w:eastAsia="仿宋_GB2312"/>
          <w:sz w:val="32"/>
          <w:szCs w:val="32"/>
          <w:shd w:val="clear" w:color="090000" w:fill="FFFFFF"/>
        </w:rPr>
        <w:t>大</w:t>
      </w:r>
      <w:r>
        <w:rPr>
          <w:rFonts w:eastAsia="仿宋_GB2312"/>
          <w:sz w:val="32"/>
          <w:szCs w:val="32"/>
          <w:shd w:val="clear" w:color="090000" w:fill="FFFFFF"/>
        </w:rPr>
        <w:lastRenderedPageBreak/>
        <w:t>熊猫</w:t>
      </w:r>
      <w:r>
        <w:rPr>
          <w:rFonts w:eastAsia="仿宋_GB2312"/>
          <w:sz w:val="32"/>
          <w:szCs w:val="32"/>
          <w:shd w:val="clear" w:color="090000" w:fill="FFFFFF"/>
        </w:rPr>
        <w:t>”</w:t>
      </w:r>
      <w:r>
        <w:rPr>
          <w:rFonts w:eastAsia="仿宋_GB2312"/>
          <w:sz w:val="32"/>
          <w:szCs w:val="32"/>
          <w:shd w:val="clear" w:color="090000" w:fill="FFFFFF"/>
        </w:rPr>
        <w:t>。</w:t>
      </w:r>
      <w:r>
        <w:rPr>
          <w:rFonts w:eastAsia="仿宋_GB2312"/>
          <w:bCs/>
          <w:sz w:val="32"/>
          <w:szCs w:val="32"/>
          <w:shd w:val="clear" w:color="090000" w:fill="FFFFFF"/>
        </w:rPr>
        <w:t>加大能源化、饲料化利用技术的推广力度，合理引导原料化、基料化等其他综合利用方式，推进秸秆多元循环利用。</w:t>
      </w:r>
    </w:p>
    <w:p w:rsidR="00A564EB" w:rsidRDefault="006438FB">
      <w:pPr>
        <w:shd w:val="clear" w:color="040000" w:fill="FFFFFF"/>
        <w:spacing w:line="600" w:lineRule="exact"/>
        <w:ind w:firstLineChars="200" w:firstLine="643"/>
        <w:contextualSpacing/>
        <w:rPr>
          <w:rFonts w:eastAsia="仿宋_GB2312"/>
          <w:bCs/>
          <w:sz w:val="32"/>
          <w:szCs w:val="32"/>
          <w:shd w:val="clear" w:color="090000" w:fill="FFFFFF"/>
        </w:rPr>
      </w:pPr>
      <w:r>
        <w:rPr>
          <w:rFonts w:eastAsia="仿宋_GB2312"/>
          <w:b/>
          <w:sz w:val="32"/>
          <w:szCs w:val="32"/>
          <w:shd w:val="clear" w:color="090000" w:fill="FFFFFF"/>
        </w:rPr>
        <w:t>2.</w:t>
      </w:r>
      <w:r>
        <w:rPr>
          <w:rFonts w:eastAsia="仿宋_GB2312"/>
          <w:b/>
          <w:sz w:val="32"/>
          <w:szCs w:val="32"/>
          <w:shd w:val="clear" w:color="090000" w:fill="FFFFFF"/>
        </w:rPr>
        <w:t>坚持统筹规划、科学布局。</w:t>
      </w:r>
      <w:r>
        <w:rPr>
          <w:rFonts w:eastAsia="仿宋_GB2312"/>
          <w:bCs/>
          <w:sz w:val="32"/>
          <w:szCs w:val="32"/>
          <w:shd w:val="clear" w:color="090000" w:fill="FFFFFF"/>
        </w:rPr>
        <w:t>综合考虑秸秆资源种类、产量，秸秆产业基础优势、发展布局，以及农民意愿、运输半径等多方面因素，因地制宜，就地就近，统筹安排秸秆多元利用优先时序，合理编制年度实施方案，避免资源闲置或过度竞争。</w:t>
      </w:r>
    </w:p>
    <w:p w:rsidR="00A564EB" w:rsidRDefault="006438FB">
      <w:pPr>
        <w:spacing w:line="600" w:lineRule="exact"/>
        <w:ind w:firstLineChars="200" w:firstLine="643"/>
        <w:contextualSpacing/>
        <w:rPr>
          <w:rFonts w:eastAsia="仿宋_GB2312"/>
          <w:bCs/>
          <w:sz w:val="32"/>
          <w:szCs w:val="32"/>
          <w:shd w:val="clear" w:color="090000" w:fill="FFFFFF"/>
        </w:rPr>
      </w:pPr>
      <w:r>
        <w:rPr>
          <w:rFonts w:eastAsia="仿宋_GB2312"/>
          <w:b/>
          <w:sz w:val="32"/>
          <w:szCs w:val="32"/>
          <w:shd w:val="clear" w:color="090000" w:fill="FFFFFF"/>
        </w:rPr>
        <w:t>3.</w:t>
      </w:r>
      <w:r>
        <w:rPr>
          <w:rFonts w:eastAsia="仿宋_GB2312"/>
          <w:b/>
          <w:sz w:val="32"/>
          <w:szCs w:val="32"/>
          <w:shd w:val="clear" w:color="090000" w:fill="FFFFFF"/>
        </w:rPr>
        <w:t>坚持政府扶持、市场运作。</w:t>
      </w:r>
      <w:r>
        <w:rPr>
          <w:rFonts w:eastAsia="仿宋_GB2312"/>
          <w:sz w:val="32"/>
          <w:szCs w:val="32"/>
          <w:shd w:val="clear" w:color="090000" w:fill="FFFFFF"/>
        </w:rPr>
        <w:t>通过政府引导扶持，调动全社会参与积极性，积极探索社会化服务，充分发挥市场在资源配置中的主体作用，建立适应市场需求，各类经济主体广泛参与的秸秆收储运用体系，畅通秸秆从田间到企业的输送渠道，</w:t>
      </w:r>
      <w:r>
        <w:rPr>
          <w:rFonts w:eastAsia="仿宋_GB2312"/>
          <w:bCs/>
          <w:sz w:val="32"/>
          <w:szCs w:val="32"/>
          <w:shd w:val="clear" w:color="090000" w:fill="FFFFFF"/>
        </w:rPr>
        <w:t>引导农民、合作社、农业企业及社会资本等多元主体积极参与，建立以市场为导向、企业为主体、农民积极参与的长效机制。</w:t>
      </w:r>
    </w:p>
    <w:p w:rsidR="00A564EB" w:rsidRDefault="006438FB">
      <w:pPr>
        <w:shd w:val="clear" w:color="040000" w:fill="FFFFFF"/>
        <w:spacing w:line="600" w:lineRule="exact"/>
        <w:ind w:firstLineChars="200" w:firstLine="643"/>
        <w:contextualSpacing/>
        <w:rPr>
          <w:rFonts w:eastAsia="仿宋_GB2312"/>
          <w:bCs/>
          <w:sz w:val="32"/>
          <w:szCs w:val="32"/>
          <w:shd w:val="clear" w:color="090000" w:fill="FFFFFF"/>
        </w:rPr>
      </w:pPr>
      <w:r>
        <w:rPr>
          <w:rFonts w:eastAsia="仿宋_GB2312"/>
          <w:b/>
          <w:sz w:val="32"/>
          <w:szCs w:val="32"/>
          <w:shd w:val="clear" w:color="090000" w:fill="FFFFFF"/>
        </w:rPr>
        <w:t>4.</w:t>
      </w:r>
      <w:r>
        <w:rPr>
          <w:rFonts w:eastAsia="仿宋_GB2312"/>
          <w:b/>
          <w:sz w:val="32"/>
          <w:szCs w:val="32"/>
          <w:shd w:val="clear" w:color="090000" w:fill="FFFFFF"/>
        </w:rPr>
        <w:t>坚持科技支撑、延伸链条。</w:t>
      </w:r>
      <w:r>
        <w:rPr>
          <w:rFonts w:eastAsia="仿宋_GB2312"/>
          <w:bCs/>
          <w:sz w:val="32"/>
          <w:szCs w:val="32"/>
          <w:shd w:val="clear" w:color="090000" w:fill="FFFFFF"/>
        </w:rPr>
        <w:t>加强对秸秆综合利用技术研发的支持，以玉米、水稻秸秆处理利用为重点，提高秸秆综合利用技术、装备和工艺水平。加强成熟技术模式的复制推广和有推广前景项目的产业化示范，延伸秸秆综合利用产业链条，</w:t>
      </w:r>
      <w:r>
        <w:rPr>
          <w:rFonts w:eastAsia="仿宋_GB2312"/>
          <w:bCs/>
          <w:sz w:val="32"/>
          <w:szCs w:val="32"/>
          <w:shd w:val="clear" w:color="090000" w:fill="FFFFFF"/>
        </w:rPr>
        <w:t>加快推进产业化发展。</w:t>
      </w:r>
    </w:p>
    <w:p w:rsidR="00A564EB" w:rsidRDefault="006438FB">
      <w:pPr>
        <w:shd w:val="clear" w:color="040000" w:fill="FFFFFF"/>
        <w:spacing w:line="600" w:lineRule="exact"/>
        <w:ind w:firstLineChars="200" w:firstLine="643"/>
        <w:contextualSpacing/>
        <w:rPr>
          <w:rFonts w:eastAsia="仿宋_GB2312"/>
          <w:bCs/>
          <w:sz w:val="32"/>
          <w:szCs w:val="32"/>
          <w:shd w:val="clear" w:color="090000" w:fill="FFFFFF"/>
        </w:rPr>
      </w:pPr>
      <w:r>
        <w:rPr>
          <w:rFonts w:eastAsia="仿宋_GB2312"/>
          <w:b/>
          <w:sz w:val="32"/>
          <w:szCs w:val="32"/>
          <w:shd w:val="clear" w:color="090000" w:fill="FFFFFF"/>
        </w:rPr>
        <w:t>5.</w:t>
      </w:r>
      <w:r>
        <w:rPr>
          <w:rFonts w:eastAsia="仿宋_GB2312"/>
          <w:b/>
          <w:sz w:val="32"/>
          <w:szCs w:val="32"/>
          <w:shd w:val="clear" w:color="090000" w:fill="FFFFFF"/>
        </w:rPr>
        <w:t>坚持健全机制、形成合力。</w:t>
      </w:r>
      <w:r>
        <w:rPr>
          <w:rFonts w:eastAsia="仿宋_GB2312"/>
          <w:bCs/>
          <w:sz w:val="32"/>
          <w:szCs w:val="32"/>
          <w:shd w:val="clear" w:color="090000" w:fill="FFFFFF"/>
        </w:rPr>
        <w:t>省级定方案、定目标、定标准、定政策，市级抓协调、抓督导、抓配套，县级履行实施主体责任，乡村发动群众积极参与，有关部门各负其责，形成上下联动、部门协作、有力高效的工作推进机制。</w:t>
      </w:r>
    </w:p>
    <w:p w:rsidR="00A564EB" w:rsidRDefault="006438FB">
      <w:pPr>
        <w:shd w:val="solid" w:color="FFFFFF" w:fill="auto"/>
        <w:autoSpaceDN w:val="0"/>
        <w:spacing w:line="600" w:lineRule="exact"/>
        <w:ind w:firstLineChars="200" w:firstLine="640"/>
        <w:contextualSpacing/>
        <w:rPr>
          <w:rFonts w:eastAsia="楷体_GB2312"/>
          <w:sz w:val="32"/>
          <w:szCs w:val="32"/>
          <w:shd w:val="clear" w:color="auto" w:fill="FFFFFF"/>
        </w:rPr>
      </w:pPr>
      <w:r>
        <w:rPr>
          <w:rFonts w:eastAsia="楷体_GB2312"/>
          <w:sz w:val="32"/>
          <w:szCs w:val="32"/>
          <w:shd w:val="clear" w:color="auto" w:fill="FFFFFF"/>
        </w:rPr>
        <w:lastRenderedPageBreak/>
        <w:t>（三）工作目标</w:t>
      </w:r>
    </w:p>
    <w:p w:rsidR="00A564EB" w:rsidRDefault="006438FB">
      <w:pPr>
        <w:spacing w:line="600" w:lineRule="exact"/>
        <w:ind w:firstLineChars="200" w:firstLine="640"/>
        <w:contextualSpacing/>
        <w:rPr>
          <w:rFonts w:eastAsia="仿宋_GB2312"/>
          <w:sz w:val="32"/>
          <w:szCs w:val="32"/>
          <w:shd w:val="clear" w:color="090000" w:fill="FFFFFF"/>
        </w:rPr>
      </w:pPr>
      <w:r>
        <w:rPr>
          <w:rFonts w:eastAsia="仿宋_GB2312"/>
          <w:sz w:val="32"/>
          <w:szCs w:val="32"/>
          <w:shd w:val="clear" w:color="090000" w:fill="FFFFFF"/>
        </w:rPr>
        <w:t>在巩固现有工作基础、加大工作推进力度、保持扶持政策稳定的前提下，进一步健全完善工作推进机制、政策扶持机制，全面落实农民主体责任，确保耕地质量提升和大气环境质量提高。</w:t>
      </w:r>
      <w:r>
        <w:rPr>
          <w:rFonts w:eastAsia="仿宋_GB2312"/>
          <w:sz w:val="32"/>
          <w:szCs w:val="32"/>
          <w:shd w:val="clear" w:color="090000" w:fill="FFFFFF"/>
        </w:rPr>
        <w:t>2021</w:t>
      </w:r>
      <w:r>
        <w:rPr>
          <w:rFonts w:eastAsia="仿宋_GB2312"/>
          <w:sz w:val="32"/>
          <w:szCs w:val="32"/>
          <w:shd w:val="clear" w:color="090000" w:fill="FFFFFF"/>
        </w:rPr>
        <w:t>年，全省秸秆综合利用率达到</w:t>
      </w:r>
      <w:r>
        <w:rPr>
          <w:rFonts w:eastAsia="仿宋_GB2312"/>
          <w:sz w:val="32"/>
          <w:szCs w:val="32"/>
          <w:shd w:val="clear" w:color="090000" w:fill="FFFFFF"/>
        </w:rPr>
        <w:t>91%</w:t>
      </w:r>
      <w:r>
        <w:rPr>
          <w:rFonts w:eastAsia="仿宋_GB2312"/>
          <w:sz w:val="32"/>
          <w:szCs w:val="32"/>
          <w:shd w:val="clear" w:color="090000" w:fill="FFFFFF"/>
        </w:rPr>
        <w:t>以上，秸秆还田率达到</w:t>
      </w:r>
      <w:r>
        <w:rPr>
          <w:rFonts w:eastAsia="仿宋_GB2312"/>
          <w:sz w:val="32"/>
          <w:szCs w:val="32"/>
          <w:shd w:val="clear" w:color="090000" w:fill="FFFFFF"/>
        </w:rPr>
        <w:t>66%</w:t>
      </w:r>
      <w:r>
        <w:rPr>
          <w:rFonts w:eastAsia="仿宋_GB2312"/>
          <w:sz w:val="32"/>
          <w:szCs w:val="32"/>
          <w:shd w:val="clear" w:color="090000" w:fill="FFFFFF"/>
        </w:rPr>
        <w:t>以上。</w:t>
      </w:r>
    </w:p>
    <w:p w:rsidR="00A564EB" w:rsidRDefault="006438FB">
      <w:pPr>
        <w:spacing w:line="600" w:lineRule="exact"/>
        <w:ind w:firstLineChars="200" w:firstLine="640"/>
        <w:contextualSpacing/>
        <w:rPr>
          <w:rFonts w:eastAsia="黑体"/>
          <w:kern w:val="1"/>
          <w:sz w:val="32"/>
          <w:szCs w:val="32"/>
        </w:rPr>
      </w:pPr>
      <w:r>
        <w:rPr>
          <w:rFonts w:eastAsia="黑体"/>
          <w:kern w:val="1"/>
          <w:sz w:val="32"/>
          <w:szCs w:val="32"/>
        </w:rPr>
        <w:t>二、主要任务</w:t>
      </w:r>
    </w:p>
    <w:p w:rsidR="00A564EB" w:rsidRDefault="006438FB">
      <w:pPr>
        <w:spacing w:line="600" w:lineRule="exact"/>
        <w:ind w:firstLine="630"/>
        <w:contextualSpacing/>
        <w:rPr>
          <w:rFonts w:eastAsia="仿宋_GB2312"/>
          <w:sz w:val="32"/>
          <w:szCs w:val="32"/>
          <w:shd w:val="clear" w:color="090000" w:fill="FFFFFF"/>
        </w:rPr>
      </w:pPr>
      <w:r>
        <w:rPr>
          <w:rFonts w:eastAsia="楷体_GB2312"/>
          <w:kern w:val="1"/>
          <w:sz w:val="32"/>
          <w:szCs w:val="32"/>
        </w:rPr>
        <w:t>（一）秸秆肥料化利</w:t>
      </w:r>
      <w:r>
        <w:rPr>
          <w:rFonts w:eastAsia="楷体_GB2312"/>
          <w:kern w:val="1"/>
          <w:sz w:val="32"/>
          <w:szCs w:val="32"/>
        </w:rPr>
        <w:t>用领域。</w:t>
      </w:r>
      <w:r>
        <w:rPr>
          <w:rFonts w:eastAsia="仿宋_GB2312"/>
          <w:sz w:val="32"/>
          <w:szCs w:val="32"/>
          <w:shd w:val="clear" w:color="090000" w:fill="FFFFFF"/>
        </w:rPr>
        <w:t>以实施农作物秸秆直接还田为重点，同步推进秸秆堆沤、造肥、过腹转化等间接还田方式，构建科学合理的秸秆还田利用体系，调动农民和合作社等生产主体参与秸秆还田的积极性。各地可结合当地土壤类型和气候生态特点，选择适宜的秸秆还田技术模式，促进耕地质量提升。</w:t>
      </w:r>
    </w:p>
    <w:p w:rsidR="00A564EB" w:rsidRDefault="006438FB">
      <w:pPr>
        <w:spacing w:line="600" w:lineRule="exact"/>
        <w:ind w:firstLineChars="200" w:firstLine="640"/>
        <w:contextualSpacing/>
        <w:rPr>
          <w:rFonts w:eastAsia="仿宋_GB2312"/>
          <w:kern w:val="1"/>
          <w:sz w:val="32"/>
          <w:szCs w:val="32"/>
        </w:rPr>
      </w:pPr>
      <w:r>
        <w:rPr>
          <w:rFonts w:eastAsia="楷体_GB2312"/>
          <w:kern w:val="1"/>
          <w:sz w:val="32"/>
          <w:szCs w:val="32"/>
        </w:rPr>
        <w:t>（二）秸秆饲料化利用领域。</w:t>
      </w:r>
      <w:r>
        <w:rPr>
          <w:rFonts w:eastAsia="仿宋_GB2312"/>
          <w:sz w:val="32"/>
          <w:szCs w:val="32"/>
          <w:shd w:val="clear" w:color="090000" w:fill="FFFFFF"/>
        </w:rPr>
        <w:t>在肉牛、奶牛、肉羊等草食畜禽重点养殖区域，鼓励开展秸秆黄贮、氨化、微贮、压块、颗粒等饲料化利用。</w:t>
      </w:r>
    </w:p>
    <w:p w:rsidR="00A564EB" w:rsidRDefault="006438FB">
      <w:pPr>
        <w:spacing w:line="600" w:lineRule="exact"/>
        <w:ind w:firstLineChars="200" w:firstLine="640"/>
        <w:contextualSpacing/>
        <w:rPr>
          <w:rFonts w:eastAsia="仿宋_GB2312"/>
          <w:sz w:val="32"/>
          <w:szCs w:val="32"/>
          <w:shd w:val="clear" w:color="090000" w:fill="FFFFFF"/>
        </w:rPr>
      </w:pPr>
      <w:r>
        <w:rPr>
          <w:rFonts w:eastAsia="楷体_GB2312"/>
          <w:kern w:val="1"/>
          <w:sz w:val="32"/>
          <w:szCs w:val="32"/>
        </w:rPr>
        <w:t>（三）秸秆能源化利用领域。</w:t>
      </w:r>
      <w:r>
        <w:rPr>
          <w:rFonts w:eastAsia="仿宋_GB2312"/>
          <w:sz w:val="32"/>
          <w:szCs w:val="32"/>
          <w:shd w:val="clear" w:color="090000" w:fill="FFFFFF"/>
        </w:rPr>
        <w:t>积极推广生物质锅炉、秸秆固化成型、秸秆发电、秸秆生物气化和热解气化等技术。鼓励县乡集中供热小燃煤锅炉的生物质改造替换，继续引导农户安装户用生物质炉具，推动</w:t>
      </w:r>
      <w:r>
        <w:rPr>
          <w:rFonts w:eastAsia="仿宋_GB2312"/>
          <w:sz w:val="32"/>
          <w:szCs w:val="32"/>
          <w:shd w:val="clear" w:color="090000" w:fill="FFFFFF"/>
        </w:rPr>
        <w:t>“</w:t>
      </w:r>
      <w:r>
        <w:rPr>
          <w:rFonts w:eastAsia="仿宋_GB2312"/>
          <w:sz w:val="32"/>
          <w:szCs w:val="32"/>
          <w:shd w:val="clear" w:color="090000" w:fill="FFFFFF"/>
        </w:rPr>
        <w:t>秸秆代煤</w:t>
      </w:r>
      <w:r>
        <w:rPr>
          <w:rFonts w:eastAsia="仿宋_GB2312"/>
          <w:sz w:val="32"/>
          <w:szCs w:val="32"/>
          <w:shd w:val="clear" w:color="090000" w:fill="FFFFFF"/>
        </w:rPr>
        <w:t>”“</w:t>
      </w:r>
      <w:r>
        <w:rPr>
          <w:rFonts w:eastAsia="仿宋_GB2312"/>
          <w:sz w:val="32"/>
          <w:szCs w:val="32"/>
          <w:shd w:val="clear" w:color="090000" w:fill="FFFFFF"/>
        </w:rPr>
        <w:t>压块代煤</w:t>
      </w:r>
      <w:r>
        <w:rPr>
          <w:rFonts w:eastAsia="仿宋_GB2312"/>
          <w:sz w:val="32"/>
          <w:szCs w:val="32"/>
          <w:shd w:val="clear" w:color="090000" w:fill="FFFFFF"/>
        </w:rPr>
        <w:t>”</w:t>
      </w:r>
      <w:r>
        <w:rPr>
          <w:rFonts w:eastAsia="仿宋_GB2312"/>
          <w:sz w:val="32"/>
          <w:szCs w:val="32"/>
          <w:shd w:val="clear" w:color="090000" w:fill="FFFFFF"/>
        </w:rPr>
        <w:t>。依托全省现有生物质发电项目，根据当地秸秆资源条件、分布特点、收集半径及保障能力，加强秸秆供需衔接，发挥好生物质电厂转化利用秸秆能力。</w:t>
      </w:r>
    </w:p>
    <w:p w:rsidR="00A564EB" w:rsidRDefault="006438FB">
      <w:pPr>
        <w:spacing w:line="600" w:lineRule="exact"/>
        <w:ind w:firstLineChars="200" w:firstLine="640"/>
        <w:contextualSpacing/>
        <w:rPr>
          <w:rFonts w:eastAsia="仿宋_GB2312"/>
          <w:sz w:val="32"/>
          <w:szCs w:val="32"/>
          <w:shd w:val="clear" w:color="090000" w:fill="FFFFFF"/>
        </w:rPr>
      </w:pPr>
      <w:r>
        <w:rPr>
          <w:rFonts w:eastAsia="楷体_GB2312"/>
          <w:kern w:val="1"/>
          <w:sz w:val="32"/>
          <w:szCs w:val="32"/>
        </w:rPr>
        <w:lastRenderedPageBreak/>
        <w:t>（四）秸秆基料化利用领域。</w:t>
      </w:r>
      <w:r>
        <w:rPr>
          <w:rFonts w:eastAsia="仿宋_GB2312"/>
          <w:sz w:val="32"/>
          <w:szCs w:val="32"/>
          <w:shd w:val="clear" w:color="090000" w:fill="FFFFFF"/>
        </w:rPr>
        <w:t>利用生化处理技术，利用秸秆生产水稻育苗基质、草腐菌类食用菌基质、花木基质、草坪基料，带动食用菌产业化发展，促进农业生态平衡。</w:t>
      </w:r>
    </w:p>
    <w:p w:rsidR="00A564EB" w:rsidRDefault="006438FB">
      <w:pPr>
        <w:spacing w:line="600" w:lineRule="exact"/>
        <w:ind w:firstLine="630"/>
        <w:contextualSpacing/>
        <w:rPr>
          <w:rFonts w:eastAsia="仿宋_GB2312"/>
          <w:sz w:val="32"/>
          <w:szCs w:val="32"/>
        </w:rPr>
      </w:pPr>
      <w:r>
        <w:rPr>
          <w:rFonts w:eastAsia="楷体_GB2312"/>
          <w:sz w:val="32"/>
          <w:szCs w:val="32"/>
        </w:rPr>
        <w:t>（五）</w:t>
      </w:r>
      <w:r>
        <w:rPr>
          <w:rFonts w:eastAsia="楷体_GB2312"/>
          <w:kern w:val="1"/>
          <w:sz w:val="32"/>
          <w:szCs w:val="32"/>
        </w:rPr>
        <w:t>秸秆原料化利用领域。</w:t>
      </w:r>
      <w:r>
        <w:rPr>
          <w:rFonts w:eastAsia="仿宋_GB2312"/>
          <w:sz w:val="32"/>
          <w:szCs w:val="32"/>
          <w:shd w:val="clear" w:color="090000" w:fill="FFFFFF"/>
        </w:rPr>
        <w:t>围绕现有基础好、技术</w:t>
      </w:r>
      <w:r>
        <w:rPr>
          <w:rFonts w:eastAsia="仿宋_GB2312"/>
          <w:sz w:val="32"/>
          <w:szCs w:val="32"/>
          <w:shd w:val="clear" w:color="090000" w:fill="FFFFFF"/>
        </w:rPr>
        <w:t>成熟度高、市场需求量大的重点行业，鼓励以秸秆为原料编织，生产非木浆纸、人造板材、包装材料、降解膜、木糖醇、餐具、复合材料等产品，提高秸秆产业化利用水平。</w:t>
      </w:r>
    </w:p>
    <w:p w:rsidR="00A564EB" w:rsidRDefault="006438FB">
      <w:pPr>
        <w:spacing w:line="600" w:lineRule="exact"/>
        <w:ind w:firstLineChars="200" w:firstLine="640"/>
        <w:contextualSpacing/>
        <w:rPr>
          <w:rFonts w:eastAsia="仿宋_GB2312"/>
          <w:sz w:val="32"/>
          <w:szCs w:val="32"/>
          <w:shd w:val="clear" w:color="090000" w:fill="FFFFFF"/>
        </w:rPr>
      </w:pPr>
      <w:r>
        <w:rPr>
          <w:rFonts w:eastAsia="楷体_GB2312"/>
          <w:sz w:val="32"/>
          <w:szCs w:val="32"/>
        </w:rPr>
        <w:t>（六）秸秆收储运体系建设。</w:t>
      </w:r>
      <w:r>
        <w:rPr>
          <w:rFonts w:eastAsia="仿宋_GB2312"/>
          <w:sz w:val="32"/>
          <w:szCs w:val="32"/>
          <w:shd w:val="clear" w:color="090000" w:fill="FFFFFF"/>
        </w:rPr>
        <w:t>加快建立以需求为引导、利益为纽带、企业为龙头、专业合作经济组织为骨干，政府推动、农户参与、市场化运作、多种模式互为补充的秸秆收集储运服务体系。支持发展秸秆收储大户，壮大秸秆经纪人队伍，提供秸秆收集储运综合服务。鼓励发展农作物联合收获、打捆压块和储存运输全程机械化。</w:t>
      </w:r>
    </w:p>
    <w:p w:rsidR="00A564EB" w:rsidRDefault="006438FB">
      <w:pPr>
        <w:spacing w:line="600" w:lineRule="exact"/>
        <w:contextualSpacing/>
        <w:rPr>
          <w:rFonts w:eastAsia="黑体"/>
          <w:kern w:val="1"/>
          <w:sz w:val="32"/>
          <w:szCs w:val="32"/>
        </w:rPr>
      </w:pPr>
      <w:r>
        <w:rPr>
          <w:rFonts w:eastAsia="黑体"/>
          <w:kern w:val="1"/>
          <w:sz w:val="32"/>
          <w:szCs w:val="32"/>
        </w:rPr>
        <w:t xml:space="preserve">    </w:t>
      </w:r>
      <w:r>
        <w:rPr>
          <w:rFonts w:eastAsia="黑体"/>
          <w:kern w:val="1"/>
          <w:sz w:val="32"/>
          <w:szCs w:val="32"/>
        </w:rPr>
        <w:t>三、扶持政策</w:t>
      </w:r>
    </w:p>
    <w:p w:rsidR="00A564EB" w:rsidRDefault="006438FB">
      <w:pPr>
        <w:spacing w:line="600" w:lineRule="exact"/>
        <w:ind w:firstLineChars="200" w:firstLine="640"/>
        <w:contextualSpacing/>
        <w:rPr>
          <w:rFonts w:eastAsia="仿宋_GB2312"/>
          <w:sz w:val="32"/>
          <w:szCs w:val="32"/>
          <w:shd w:val="clear" w:color="090000" w:fill="FFFFFF"/>
        </w:rPr>
      </w:pPr>
      <w:r>
        <w:rPr>
          <w:rFonts w:eastAsia="仿宋_GB2312"/>
          <w:sz w:val="32"/>
          <w:szCs w:val="32"/>
          <w:shd w:val="clear" w:color="090000" w:fill="FFFFFF"/>
        </w:rPr>
        <w:t>坚持</w:t>
      </w:r>
      <w:r>
        <w:rPr>
          <w:rFonts w:eastAsia="仿宋_GB2312"/>
          <w:sz w:val="32"/>
          <w:szCs w:val="32"/>
          <w:shd w:val="clear" w:color="090000" w:fill="FFFFFF"/>
        </w:rPr>
        <w:t>“</w:t>
      </w:r>
      <w:r>
        <w:rPr>
          <w:rFonts w:eastAsia="仿宋_GB2312"/>
          <w:sz w:val="32"/>
          <w:szCs w:val="32"/>
          <w:shd w:val="clear" w:color="090000" w:fill="FFFFFF"/>
        </w:rPr>
        <w:t>还田利用为主、离田利用为辅、政府引导扶</w:t>
      </w:r>
      <w:r>
        <w:rPr>
          <w:rFonts w:eastAsia="仿宋_GB2312"/>
          <w:sz w:val="32"/>
          <w:szCs w:val="32"/>
          <w:shd w:val="clear" w:color="090000" w:fill="FFFFFF"/>
        </w:rPr>
        <w:t>持、农民等主体共担</w:t>
      </w:r>
      <w:r>
        <w:rPr>
          <w:rFonts w:eastAsia="仿宋_GB2312"/>
          <w:sz w:val="32"/>
          <w:szCs w:val="32"/>
          <w:shd w:val="clear" w:color="090000" w:fill="FFFFFF"/>
        </w:rPr>
        <w:t>”</w:t>
      </w:r>
      <w:r>
        <w:rPr>
          <w:rFonts w:eastAsia="仿宋_GB2312"/>
          <w:sz w:val="32"/>
          <w:szCs w:val="32"/>
          <w:shd w:val="clear" w:color="090000" w:fill="FFFFFF"/>
        </w:rPr>
        <w:t>的原则，进一步加大秸秆还田、离田</w:t>
      </w:r>
      <w:r>
        <w:rPr>
          <w:rFonts w:eastAsia="仿宋_GB2312"/>
          <w:sz w:val="32"/>
          <w:szCs w:val="32"/>
          <w:shd w:val="clear" w:color="090000" w:fill="FFFFFF"/>
        </w:rPr>
        <w:t>等</w:t>
      </w:r>
      <w:r>
        <w:rPr>
          <w:rFonts w:eastAsia="仿宋_GB2312"/>
          <w:sz w:val="32"/>
          <w:szCs w:val="32"/>
          <w:shd w:val="clear" w:color="090000" w:fill="FFFFFF"/>
        </w:rPr>
        <w:t>环节的政策支持力度。</w:t>
      </w:r>
    </w:p>
    <w:p w:rsidR="00A564EB" w:rsidRDefault="006438FB">
      <w:pPr>
        <w:pStyle w:val="a0"/>
        <w:spacing w:after="0" w:line="600" w:lineRule="exact"/>
        <w:ind w:firstLine="640"/>
        <w:contextualSpacing/>
        <w:rPr>
          <w:rFonts w:eastAsia="仿宋_GB2312"/>
          <w:sz w:val="32"/>
          <w:szCs w:val="32"/>
        </w:rPr>
      </w:pPr>
      <w:r>
        <w:rPr>
          <w:rFonts w:eastAsia="楷体_GB2312"/>
          <w:sz w:val="32"/>
          <w:szCs w:val="32"/>
          <w:shd w:val="clear" w:color="auto" w:fill="FFFFFF"/>
        </w:rPr>
        <w:t>（一）秸秆还田作业补贴</w:t>
      </w:r>
    </w:p>
    <w:p w:rsidR="00A564EB" w:rsidRDefault="006438FB">
      <w:pPr>
        <w:spacing w:line="600" w:lineRule="exact"/>
        <w:ind w:firstLineChars="200" w:firstLine="640"/>
        <w:contextualSpacing/>
        <w:rPr>
          <w:rFonts w:eastAsia="仿宋_GB2312"/>
          <w:sz w:val="32"/>
          <w:szCs w:val="32"/>
          <w:shd w:val="clear" w:color="090000" w:fill="FFFFFF"/>
        </w:rPr>
      </w:pPr>
      <w:r>
        <w:rPr>
          <w:rFonts w:eastAsia="仿宋_GB2312"/>
          <w:sz w:val="32"/>
          <w:szCs w:val="32"/>
          <w:shd w:val="clear" w:color="090000" w:fill="FFFFFF"/>
        </w:rPr>
        <w:t>各地应根据本地土壤和耕作条件，因地制宜，分类施策，科学选择秸秆还田模式。</w:t>
      </w:r>
    </w:p>
    <w:p w:rsidR="00A564EB" w:rsidRDefault="006438FB">
      <w:pPr>
        <w:spacing w:line="600" w:lineRule="exact"/>
        <w:ind w:firstLineChars="200" w:firstLine="640"/>
        <w:contextualSpacing/>
        <w:rPr>
          <w:rFonts w:eastAsia="仿宋_GB2312"/>
          <w:sz w:val="32"/>
          <w:szCs w:val="32"/>
          <w:shd w:val="clear" w:color="090000" w:fill="FFFFFF"/>
        </w:rPr>
      </w:pPr>
      <w:r>
        <w:rPr>
          <w:rFonts w:eastAsia="仿宋_GB2312"/>
          <w:sz w:val="32"/>
          <w:szCs w:val="32"/>
          <w:shd w:val="clear" w:color="090000" w:fill="FFFFFF"/>
        </w:rPr>
        <w:t>1.</w:t>
      </w:r>
      <w:r>
        <w:rPr>
          <w:rFonts w:eastAsia="仿宋_GB2312"/>
          <w:sz w:val="32"/>
          <w:szCs w:val="32"/>
          <w:shd w:val="clear" w:color="090000" w:fill="FFFFFF"/>
        </w:rPr>
        <w:t>玉米秸秆翻埋还田作业补贴。翻埋作业深度达到</w:t>
      </w:r>
      <w:r>
        <w:rPr>
          <w:rFonts w:eastAsia="仿宋_GB2312"/>
          <w:sz w:val="32"/>
          <w:szCs w:val="32"/>
          <w:shd w:val="clear" w:color="090000" w:fill="FFFFFF"/>
        </w:rPr>
        <w:t>30</w:t>
      </w:r>
      <w:r>
        <w:rPr>
          <w:rFonts w:eastAsia="仿宋_GB2312"/>
          <w:sz w:val="32"/>
          <w:szCs w:val="32"/>
          <w:shd w:val="clear" w:color="090000" w:fill="FFFFFF"/>
        </w:rPr>
        <w:t>厘米，</w:t>
      </w:r>
      <w:r>
        <w:rPr>
          <w:rFonts w:eastAsia="仿宋_GB2312"/>
          <w:sz w:val="32"/>
          <w:szCs w:val="32"/>
          <w:shd w:val="clear" w:color="090000" w:fill="FFFFFF"/>
        </w:rPr>
        <w:lastRenderedPageBreak/>
        <w:t>达到待播状态后，省级每亩补贴</w:t>
      </w:r>
      <w:r>
        <w:rPr>
          <w:rFonts w:eastAsia="仿宋_GB2312"/>
          <w:sz w:val="32"/>
          <w:szCs w:val="32"/>
          <w:shd w:val="clear" w:color="090000" w:fill="FFFFFF"/>
        </w:rPr>
        <w:t>40</w:t>
      </w:r>
      <w:r>
        <w:rPr>
          <w:rFonts w:eastAsia="仿宋_GB2312"/>
          <w:sz w:val="32"/>
          <w:szCs w:val="32"/>
          <w:shd w:val="clear" w:color="090000" w:fill="FFFFFF"/>
        </w:rPr>
        <w:t>元。鼓励农户增加投入，提高作业质量和标准。（作业标准另行印发）</w:t>
      </w:r>
    </w:p>
    <w:p w:rsidR="00A564EB" w:rsidRDefault="006438FB">
      <w:pPr>
        <w:spacing w:line="600" w:lineRule="exact"/>
        <w:ind w:firstLineChars="200" w:firstLine="640"/>
        <w:contextualSpacing/>
        <w:rPr>
          <w:rFonts w:eastAsia="仿宋_GB2312"/>
          <w:sz w:val="32"/>
          <w:szCs w:val="32"/>
          <w:shd w:val="clear" w:color="090000" w:fill="FFFFFF"/>
        </w:rPr>
      </w:pPr>
      <w:r>
        <w:rPr>
          <w:rFonts w:eastAsia="仿宋_GB2312"/>
          <w:sz w:val="32"/>
          <w:szCs w:val="32"/>
          <w:shd w:val="clear" w:color="090000" w:fill="FFFFFF"/>
        </w:rPr>
        <w:t>2.</w:t>
      </w:r>
      <w:r>
        <w:rPr>
          <w:rFonts w:eastAsia="仿宋_GB2312"/>
          <w:sz w:val="32"/>
          <w:szCs w:val="32"/>
          <w:shd w:val="clear" w:color="090000" w:fill="FFFFFF"/>
        </w:rPr>
        <w:t>玉米秸秆松耙碎混还田作业补贴。碎混作业深度达到</w:t>
      </w:r>
      <w:r>
        <w:rPr>
          <w:rFonts w:eastAsia="仿宋_GB2312"/>
          <w:sz w:val="32"/>
          <w:szCs w:val="32"/>
          <w:shd w:val="clear" w:color="090000" w:fill="FFFFFF"/>
        </w:rPr>
        <w:t>30</w:t>
      </w:r>
      <w:r>
        <w:rPr>
          <w:rFonts w:eastAsia="仿宋_GB2312"/>
          <w:sz w:val="32"/>
          <w:szCs w:val="32"/>
          <w:shd w:val="clear" w:color="090000" w:fill="FFFFFF"/>
        </w:rPr>
        <w:t>厘米，达到待播状态后，省级每亩补贴</w:t>
      </w:r>
      <w:r>
        <w:rPr>
          <w:rFonts w:eastAsia="仿宋_GB2312"/>
          <w:sz w:val="32"/>
          <w:szCs w:val="32"/>
          <w:shd w:val="clear" w:color="090000" w:fill="FFFFFF"/>
        </w:rPr>
        <w:t>40</w:t>
      </w:r>
      <w:r>
        <w:rPr>
          <w:rFonts w:eastAsia="仿宋_GB2312"/>
          <w:sz w:val="32"/>
          <w:szCs w:val="32"/>
          <w:shd w:val="clear" w:color="090000" w:fill="FFFFFF"/>
        </w:rPr>
        <w:t>元。鼓励农户增加投入，提高作业质量和标准。</w:t>
      </w:r>
    </w:p>
    <w:p w:rsidR="00A564EB" w:rsidRDefault="006438FB">
      <w:pPr>
        <w:pStyle w:val="a0"/>
        <w:snapToGrid w:val="0"/>
        <w:spacing w:after="0" w:line="560" w:lineRule="exact"/>
        <w:ind w:firstLineChars="200" w:firstLine="640"/>
        <w:rPr>
          <w:rFonts w:eastAsia="仿宋_GB2312"/>
          <w:sz w:val="32"/>
          <w:szCs w:val="32"/>
          <w:shd w:val="clear" w:color="auto" w:fill="FFFFFF"/>
        </w:rPr>
      </w:pPr>
      <w:r>
        <w:rPr>
          <w:rFonts w:eastAsia="仿宋_GB2312"/>
          <w:sz w:val="32"/>
          <w:szCs w:val="32"/>
          <w:shd w:val="clear" w:color="auto" w:fill="FFFFFF"/>
        </w:rPr>
        <w:t>3.</w:t>
      </w:r>
      <w:r>
        <w:rPr>
          <w:rFonts w:eastAsia="仿宋_GB2312"/>
          <w:sz w:val="32"/>
          <w:szCs w:val="32"/>
          <w:shd w:val="clear" w:color="auto" w:fill="FFFFFF"/>
        </w:rPr>
        <w:t>玉米秸秆联合整地碎混还田作业补贴。达到待播状态后省级每亩补贴</w:t>
      </w:r>
      <w:r>
        <w:rPr>
          <w:rFonts w:eastAsia="仿宋_GB2312"/>
          <w:sz w:val="32"/>
          <w:szCs w:val="32"/>
          <w:shd w:val="clear" w:color="auto" w:fill="FFFFFF"/>
        </w:rPr>
        <w:t>25</w:t>
      </w:r>
      <w:r>
        <w:rPr>
          <w:rFonts w:eastAsia="仿宋_GB2312"/>
          <w:sz w:val="32"/>
          <w:szCs w:val="32"/>
          <w:shd w:val="clear" w:color="auto" w:fill="FFFFFF"/>
        </w:rPr>
        <w:t>元，鼓励农户增加投入，</w:t>
      </w:r>
      <w:r>
        <w:rPr>
          <w:rFonts w:eastAsia="仿宋_GB2312"/>
          <w:sz w:val="32"/>
          <w:szCs w:val="32"/>
          <w:shd w:val="clear" w:color="090000" w:fill="FFFFFF"/>
        </w:rPr>
        <w:t>提高作业质量和标准</w:t>
      </w:r>
      <w:r>
        <w:rPr>
          <w:rFonts w:eastAsia="仿宋_GB2312"/>
          <w:sz w:val="32"/>
          <w:szCs w:val="32"/>
          <w:shd w:val="clear" w:color="auto" w:fill="FFFFFF"/>
        </w:rPr>
        <w:t>。</w:t>
      </w:r>
    </w:p>
    <w:p w:rsidR="00A564EB" w:rsidRDefault="006438FB">
      <w:pPr>
        <w:spacing w:line="600" w:lineRule="exact"/>
        <w:ind w:firstLineChars="200" w:firstLine="640"/>
        <w:contextualSpacing/>
        <w:rPr>
          <w:rFonts w:eastAsia="仿宋_GB2312"/>
          <w:sz w:val="32"/>
          <w:szCs w:val="32"/>
          <w:shd w:val="clear" w:color="090000" w:fill="FFFFFF"/>
        </w:rPr>
      </w:pPr>
      <w:r>
        <w:rPr>
          <w:rFonts w:eastAsia="仿宋_GB2312"/>
          <w:sz w:val="32"/>
          <w:szCs w:val="32"/>
          <w:shd w:val="clear" w:color="090000" w:fill="FFFFFF"/>
        </w:rPr>
        <w:t>4.</w:t>
      </w:r>
      <w:r>
        <w:rPr>
          <w:rFonts w:eastAsia="仿宋_GB2312"/>
          <w:sz w:val="32"/>
          <w:szCs w:val="32"/>
          <w:shd w:val="clear" w:color="090000" w:fill="FFFFFF"/>
        </w:rPr>
        <w:t>玉米保护性耕作补贴。</w:t>
      </w:r>
      <w:r>
        <w:rPr>
          <w:rFonts w:eastAsia="仿宋_GB2312"/>
          <w:sz w:val="32"/>
          <w:szCs w:val="32"/>
        </w:rPr>
        <w:t>按照国家和我省</w:t>
      </w:r>
      <w:r>
        <w:rPr>
          <w:rFonts w:eastAsia="仿宋_GB2312"/>
          <w:sz w:val="32"/>
          <w:szCs w:val="32"/>
        </w:rPr>
        <w:t>2021</w:t>
      </w:r>
      <w:r>
        <w:rPr>
          <w:rFonts w:eastAsia="仿宋_GB2312"/>
          <w:sz w:val="32"/>
          <w:szCs w:val="32"/>
        </w:rPr>
        <w:t>年黑土地保护性耕作有关政策执行。</w:t>
      </w:r>
    </w:p>
    <w:p w:rsidR="00A564EB" w:rsidRDefault="006438FB">
      <w:pPr>
        <w:spacing w:line="600" w:lineRule="exact"/>
        <w:ind w:firstLineChars="200" w:firstLine="640"/>
        <w:contextualSpacing/>
        <w:rPr>
          <w:rFonts w:eastAsia="仿宋_GB2312"/>
          <w:sz w:val="32"/>
          <w:szCs w:val="32"/>
          <w:shd w:val="clear" w:color="090000" w:fill="FFFFFF"/>
        </w:rPr>
      </w:pPr>
      <w:r>
        <w:rPr>
          <w:rFonts w:eastAsia="仿宋_GB2312"/>
          <w:sz w:val="32"/>
          <w:szCs w:val="32"/>
          <w:shd w:val="clear" w:color="090000" w:fill="FFFFFF"/>
        </w:rPr>
        <w:t>5.</w:t>
      </w:r>
      <w:r>
        <w:rPr>
          <w:rFonts w:eastAsia="仿宋_GB2312"/>
          <w:sz w:val="32"/>
          <w:szCs w:val="32"/>
          <w:shd w:val="clear" w:color="090000" w:fill="FFFFFF"/>
        </w:rPr>
        <w:t>水稻秸秆翻埋还田作业补贴。翻埋作业深度达到</w:t>
      </w:r>
      <w:r>
        <w:rPr>
          <w:rFonts w:eastAsia="仿宋_GB2312"/>
          <w:sz w:val="32"/>
          <w:szCs w:val="32"/>
          <w:shd w:val="clear" w:color="090000" w:fill="FFFFFF"/>
        </w:rPr>
        <w:t>20±2</w:t>
      </w:r>
      <w:r>
        <w:rPr>
          <w:rFonts w:eastAsia="仿宋_GB2312"/>
          <w:sz w:val="32"/>
          <w:szCs w:val="32"/>
          <w:shd w:val="clear" w:color="090000" w:fill="FFFFFF"/>
        </w:rPr>
        <w:t>厘米，省级每亩补贴</w:t>
      </w:r>
      <w:r>
        <w:rPr>
          <w:rFonts w:eastAsia="仿宋_GB2312"/>
          <w:sz w:val="32"/>
          <w:szCs w:val="32"/>
          <w:shd w:val="clear" w:color="090000" w:fill="FFFFFF"/>
        </w:rPr>
        <w:t>25</w:t>
      </w:r>
      <w:r>
        <w:rPr>
          <w:rFonts w:eastAsia="仿宋_GB2312"/>
          <w:sz w:val="32"/>
          <w:szCs w:val="32"/>
          <w:shd w:val="clear" w:color="090000" w:fill="FFFFFF"/>
        </w:rPr>
        <w:t>元。</w:t>
      </w:r>
    </w:p>
    <w:p w:rsidR="00A564EB" w:rsidRDefault="006438FB">
      <w:pPr>
        <w:spacing w:line="600" w:lineRule="exact"/>
        <w:ind w:firstLineChars="200" w:firstLine="640"/>
        <w:contextualSpacing/>
        <w:rPr>
          <w:rFonts w:eastAsia="仿宋_GB2312"/>
          <w:sz w:val="32"/>
          <w:szCs w:val="32"/>
          <w:shd w:val="clear" w:color="090000" w:fill="FFFFFF"/>
        </w:rPr>
      </w:pPr>
      <w:r>
        <w:rPr>
          <w:rFonts w:eastAsia="仿宋_GB2312"/>
          <w:sz w:val="32"/>
          <w:szCs w:val="32"/>
          <w:shd w:val="clear" w:color="090000" w:fill="FFFFFF"/>
        </w:rPr>
        <w:t>6.</w:t>
      </w:r>
      <w:r>
        <w:rPr>
          <w:rFonts w:eastAsia="仿宋_GB2312"/>
          <w:sz w:val="32"/>
          <w:szCs w:val="32"/>
          <w:shd w:val="clear" w:color="090000" w:fill="FFFFFF"/>
        </w:rPr>
        <w:t>水稻秸秆旋耕还田作业补贴。旋耕作业深度达到</w:t>
      </w:r>
      <w:r>
        <w:rPr>
          <w:rFonts w:eastAsia="仿宋_GB2312"/>
          <w:sz w:val="32"/>
          <w:szCs w:val="32"/>
          <w:shd w:val="clear" w:color="090000" w:fill="FFFFFF"/>
        </w:rPr>
        <w:t>15</w:t>
      </w:r>
      <w:r>
        <w:rPr>
          <w:rFonts w:eastAsia="仿宋_GB2312"/>
          <w:sz w:val="32"/>
          <w:szCs w:val="32"/>
          <w:shd w:val="clear" w:color="090000" w:fill="FFFFFF"/>
        </w:rPr>
        <w:t>厘米，省级每亩补贴</w:t>
      </w:r>
      <w:r>
        <w:rPr>
          <w:rFonts w:eastAsia="仿宋_GB2312"/>
          <w:sz w:val="32"/>
          <w:szCs w:val="32"/>
          <w:shd w:val="clear" w:color="090000" w:fill="FFFFFF"/>
        </w:rPr>
        <w:t>25</w:t>
      </w:r>
      <w:r>
        <w:rPr>
          <w:rFonts w:eastAsia="仿宋_GB2312"/>
          <w:sz w:val="32"/>
          <w:szCs w:val="32"/>
          <w:shd w:val="clear" w:color="090000" w:fill="FFFFFF"/>
        </w:rPr>
        <w:t>元。</w:t>
      </w:r>
    </w:p>
    <w:p w:rsidR="00A564EB" w:rsidRDefault="006438FB">
      <w:pPr>
        <w:spacing w:line="600" w:lineRule="exact"/>
        <w:ind w:firstLineChars="200" w:firstLine="640"/>
        <w:contextualSpacing/>
        <w:rPr>
          <w:rFonts w:eastAsia="仿宋_GB2312"/>
          <w:sz w:val="32"/>
          <w:szCs w:val="32"/>
          <w:shd w:val="clear" w:color="090000" w:fill="FFFFFF"/>
        </w:rPr>
      </w:pPr>
      <w:r>
        <w:rPr>
          <w:rFonts w:eastAsia="仿宋_GB2312"/>
          <w:sz w:val="32"/>
          <w:szCs w:val="32"/>
          <w:shd w:val="clear" w:color="090000" w:fill="FFFFFF"/>
        </w:rPr>
        <w:t>7.</w:t>
      </w:r>
      <w:r>
        <w:rPr>
          <w:rFonts w:eastAsia="仿宋_GB2312"/>
          <w:sz w:val="32"/>
          <w:szCs w:val="32"/>
          <w:shd w:val="clear" w:color="090000" w:fill="FFFFFF"/>
        </w:rPr>
        <w:t>水稻秸秆原位搅浆还田作业补贴。作业深度达到</w:t>
      </w:r>
      <w:r>
        <w:rPr>
          <w:rFonts w:eastAsia="仿宋_GB2312"/>
          <w:sz w:val="32"/>
          <w:szCs w:val="32"/>
          <w:shd w:val="clear" w:color="090000" w:fill="FFFFFF"/>
        </w:rPr>
        <w:t>12</w:t>
      </w:r>
      <w:r>
        <w:rPr>
          <w:rFonts w:eastAsia="仿宋_GB2312"/>
          <w:sz w:val="32"/>
          <w:szCs w:val="32"/>
          <w:shd w:val="clear" w:color="090000" w:fill="FFFFFF"/>
        </w:rPr>
        <w:t>厘米，可结合实际喷施秸秆腐熟剂，省级每亩补贴</w:t>
      </w:r>
      <w:r>
        <w:rPr>
          <w:rFonts w:eastAsia="仿宋_GB2312"/>
          <w:sz w:val="32"/>
          <w:szCs w:val="32"/>
          <w:shd w:val="clear" w:color="090000" w:fill="FFFFFF"/>
        </w:rPr>
        <w:t>25</w:t>
      </w:r>
      <w:r>
        <w:rPr>
          <w:rFonts w:eastAsia="仿宋_GB2312"/>
          <w:sz w:val="32"/>
          <w:szCs w:val="32"/>
          <w:shd w:val="clear" w:color="090000" w:fill="FFFFFF"/>
        </w:rPr>
        <w:t>元。</w:t>
      </w:r>
    </w:p>
    <w:p w:rsidR="00A564EB" w:rsidRDefault="006438FB">
      <w:pPr>
        <w:pStyle w:val="a0"/>
        <w:spacing w:after="0" w:line="600" w:lineRule="exact"/>
        <w:contextualSpacing/>
        <w:rPr>
          <w:rFonts w:eastAsia="楷体_GB2312"/>
          <w:sz w:val="32"/>
          <w:szCs w:val="32"/>
          <w:shd w:val="clear" w:color="auto" w:fill="FFFFFF"/>
        </w:rPr>
      </w:pPr>
      <w:r>
        <w:rPr>
          <w:rFonts w:eastAsia="黑体"/>
          <w:sz w:val="32"/>
          <w:szCs w:val="32"/>
          <w:shd w:val="clear" w:color="auto" w:fill="FFFFFF"/>
        </w:rPr>
        <w:t xml:space="preserve">   </w:t>
      </w:r>
      <w:r>
        <w:rPr>
          <w:rFonts w:eastAsia="楷体_GB2312"/>
          <w:sz w:val="32"/>
          <w:szCs w:val="32"/>
          <w:shd w:val="clear" w:color="auto" w:fill="FFFFFF"/>
        </w:rPr>
        <w:t>（二）秸秆离田补贴</w:t>
      </w:r>
    </w:p>
    <w:p w:rsidR="00A564EB" w:rsidRDefault="006438FB">
      <w:pPr>
        <w:spacing w:line="600" w:lineRule="exact"/>
        <w:ind w:firstLineChars="200" w:firstLine="640"/>
        <w:contextualSpacing/>
        <w:rPr>
          <w:rFonts w:eastAsia="仿宋_GB2312"/>
          <w:sz w:val="32"/>
          <w:szCs w:val="32"/>
          <w:shd w:val="clear" w:color="auto" w:fill="FFFFFF"/>
        </w:rPr>
      </w:pPr>
      <w:r>
        <w:rPr>
          <w:rFonts w:eastAsia="楷体_GB2312"/>
          <w:sz w:val="32"/>
          <w:szCs w:val="32"/>
          <w:shd w:val="clear" w:color="auto" w:fill="FFFFFF"/>
        </w:rPr>
        <w:t>8.</w:t>
      </w:r>
      <w:r>
        <w:rPr>
          <w:rFonts w:eastAsia="仿宋_GB2312"/>
          <w:sz w:val="32"/>
          <w:szCs w:val="32"/>
          <w:shd w:val="clear" w:color="auto" w:fill="FFFFFF"/>
        </w:rPr>
        <w:t>秸秆离田利用补贴。对纳入全</w:t>
      </w:r>
      <w:r>
        <w:rPr>
          <w:rFonts w:eastAsia="仿宋_GB2312"/>
          <w:sz w:val="32"/>
          <w:szCs w:val="32"/>
          <w:shd w:val="clear" w:color="auto" w:fill="FFFFFF"/>
        </w:rPr>
        <w:t>省各级秸秆综合利用管理台账的各类经营主体和企业，根据其当年实际利用玉米、水稻秸秆量（不含玉米青贮，开展玉米青贮的按国家粮改饲有关政策执行），省级给予每吨</w:t>
      </w:r>
      <w:r>
        <w:rPr>
          <w:rFonts w:eastAsia="仿宋_GB2312"/>
          <w:sz w:val="32"/>
          <w:szCs w:val="32"/>
          <w:shd w:val="clear" w:color="auto" w:fill="FFFFFF"/>
        </w:rPr>
        <w:t>20</w:t>
      </w:r>
      <w:r>
        <w:rPr>
          <w:rFonts w:eastAsia="仿宋_GB2312"/>
          <w:sz w:val="32"/>
          <w:szCs w:val="32"/>
          <w:shd w:val="clear" w:color="auto" w:fill="FFFFFF"/>
        </w:rPr>
        <w:t>元的补贴，单个项目补贴上限不超过</w:t>
      </w:r>
      <w:r>
        <w:rPr>
          <w:rFonts w:eastAsia="仿宋_GB2312"/>
          <w:sz w:val="32"/>
          <w:szCs w:val="32"/>
          <w:shd w:val="clear" w:color="auto" w:fill="FFFFFF"/>
        </w:rPr>
        <w:t>400</w:t>
      </w:r>
      <w:r>
        <w:rPr>
          <w:rFonts w:eastAsia="仿宋_GB2312"/>
          <w:sz w:val="32"/>
          <w:szCs w:val="32"/>
          <w:shd w:val="clear" w:color="auto" w:fill="FFFFFF"/>
        </w:rPr>
        <w:t>万元。利用补贴申报时要提供利用方向、利用主体等信息和相关佐证材</w:t>
      </w:r>
      <w:r>
        <w:rPr>
          <w:rFonts w:eastAsia="仿宋_GB2312"/>
          <w:sz w:val="32"/>
          <w:szCs w:val="32"/>
          <w:shd w:val="clear" w:color="auto" w:fill="FFFFFF"/>
        </w:rPr>
        <w:lastRenderedPageBreak/>
        <w:t>料，所利用的秸秆应当能够追溯到县域内的乡镇、村屯和地块，并与该地块秸秆离田作业情况相衔接。</w:t>
      </w:r>
    </w:p>
    <w:p w:rsidR="00A564EB" w:rsidRDefault="006438FB">
      <w:pPr>
        <w:spacing w:line="600" w:lineRule="exact"/>
        <w:ind w:firstLineChars="200" w:firstLine="640"/>
        <w:contextualSpacing/>
        <w:rPr>
          <w:rFonts w:eastAsia="仿宋_GB2312"/>
          <w:sz w:val="32"/>
          <w:szCs w:val="32"/>
          <w:shd w:val="clear" w:color="090000" w:fill="FFFFFF"/>
        </w:rPr>
      </w:pPr>
      <w:r>
        <w:rPr>
          <w:rFonts w:eastAsia="仿宋_GB2312"/>
          <w:sz w:val="32"/>
          <w:szCs w:val="32"/>
          <w:shd w:val="clear" w:color="090000" w:fill="FFFFFF"/>
        </w:rPr>
        <w:t>9.</w:t>
      </w:r>
      <w:r>
        <w:rPr>
          <w:rFonts w:eastAsia="仿宋_GB2312"/>
          <w:sz w:val="32"/>
          <w:szCs w:val="32"/>
          <w:shd w:val="clear" w:color="090000" w:fill="FFFFFF"/>
        </w:rPr>
        <w:t>秸秆离田后残余物处理补贴。开展玉米、水稻秸秆离田作业，对秸秆残余物、根茬进行处理的，省级每亩补贴</w:t>
      </w:r>
      <w:r>
        <w:rPr>
          <w:rFonts w:eastAsia="仿宋_GB2312"/>
          <w:sz w:val="32"/>
          <w:szCs w:val="32"/>
          <w:shd w:val="clear" w:color="090000" w:fill="FFFFFF"/>
        </w:rPr>
        <w:t>10</w:t>
      </w:r>
      <w:r>
        <w:rPr>
          <w:rFonts w:eastAsia="仿宋_GB2312"/>
          <w:sz w:val="32"/>
          <w:szCs w:val="32"/>
          <w:shd w:val="clear" w:color="090000" w:fill="FFFFFF"/>
        </w:rPr>
        <w:t>元。出现焚烧秸秆、焚烧残余物情况的地块，不得发放补贴。</w:t>
      </w:r>
    </w:p>
    <w:p w:rsidR="00A564EB" w:rsidRDefault="006438FB">
      <w:pPr>
        <w:spacing w:line="600" w:lineRule="exact"/>
        <w:ind w:firstLineChars="200" w:firstLine="640"/>
        <w:contextualSpacing/>
        <w:rPr>
          <w:rFonts w:eastAsia="仿宋"/>
          <w:sz w:val="32"/>
          <w:szCs w:val="32"/>
          <w:shd w:val="clear" w:color="auto" w:fill="FFFFFF"/>
        </w:rPr>
      </w:pPr>
      <w:r>
        <w:rPr>
          <w:rFonts w:eastAsia="楷体_GB2312"/>
          <w:sz w:val="32"/>
          <w:szCs w:val="32"/>
          <w:shd w:val="clear" w:color="auto" w:fill="FFFFFF"/>
        </w:rPr>
        <w:t>（三</w:t>
      </w:r>
      <w:r>
        <w:rPr>
          <w:rFonts w:eastAsia="楷体_GB2312"/>
          <w:sz w:val="32"/>
          <w:szCs w:val="32"/>
          <w:shd w:val="clear" w:color="auto" w:fill="FFFFFF"/>
        </w:rPr>
        <w:t>）农村秸秆替代散煤补贴</w:t>
      </w:r>
    </w:p>
    <w:p w:rsidR="00A564EB" w:rsidRDefault="006438FB">
      <w:pPr>
        <w:spacing w:line="600" w:lineRule="exact"/>
        <w:ind w:firstLineChars="200" w:firstLine="640"/>
        <w:contextualSpacing/>
        <w:rPr>
          <w:rFonts w:eastAsia="仿宋_GB2312"/>
          <w:sz w:val="32"/>
          <w:szCs w:val="32"/>
          <w:shd w:val="clear" w:color="090000" w:fill="FFFFFF"/>
        </w:rPr>
      </w:pPr>
      <w:r>
        <w:rPr>
          <w:rFonts w:eastAsia="仿宋_GB2312"/>
          <w:sz w:val="32"/>
          <w:szCs w:val="32"/>
          <w:shd w:val="clear" w:color="090000" w:fill="FFFFFF"/>
        </w:rPr>
        <w:t>按照省委、省政府关于推进重点地区散煤污染治理的工作要求，推进秸秆等生物质清洁能源替代散煤，对重点地区集中购置安装户用生物质炉具，改造或新建生物质锅炉进行补贴。</w:t>
      </w:r>
    </w:p>
    <w:p w:rsidR="00A564EB" w:rsidRDefault="006438FB">
      <w:pPr>
        <w:spacing w:line="600" w:lineRule="exact"/>
        <w:ind w:firstLineChars="200" w:firstLine="640"/>
        <w:contextualSpacing/>
        <w:rPr>
          <w:rFonts w:eastAsia="仿宋_GB2312"/>
          <w:sz w:val="32"/>
          <w:szCs w:val="32"/>
          <w:shd w:val="clear" w:color="090000" w:fill="FFFFFF"/>
        </w:rPr>
      </w:pPr>
      <w:r>
        <w:rPr>
          <w:rFonts w:eastAsia="仿宋_GB2312"/>
          <w:sz w:val="32"/>
          <w:szCs w:val="32"/>
          <w:shd w:val="clear" w:color="090000" w:fill="FFFFFF"/>
        </w:rPr>
        <w:t>10.</w:t>
      </w:r>
      <w:r>
        <w:rPr>
          <w:rFonts w:eastAsia="仿宋_GB2312"/>
          <w:sz w:val="32"/>
          <w:szCs w:val="32"/>
          <w:shd w:val="clear" w:color="090000" w:fill="FFFFFF"/>
        </w:rPr>
        <w:t>户用生物质炉具购置补贴。对哈尔滨市、齐齐哈尔市、大庆市、绥化市有秸秆固化成型燃料稳定来源，以整村、屯为单位购置安装户用生物质炉具的农户，按照每户购置安装</w:t>
      </w:r>
      <w:r>
        <w:rPr>
          <w:rFonts w:eastAsia="仿宋_GB2312"/>
          <w:sz w:val="32"/>
          <w:szCs w:val="32"/>
          <w:shd w:val="clear" w:color="090000" w:fill="FFFFFF"/>
        </w:rPr>
        <w:t>1</w:t>
      </w:r>
      <w:r>
        <w:rPr>
          <w:rFonts w:eastAsia="仿宋_GB2312"/>
          <w:sz w:val="32"/>
          <w:szCs w:val="32"/>
          <w:shd w:val="clear" w:color="090000" w:fill="FFFFFF"/>
        </w:rPr>
        <w:t>台，每台</w:t>
      </w:r>
      <w:r>
        <w:rPr>
          <w:rFonts w:eastAsia="仿宋_GB2312"/>
          <w:sz w:val="32"/>
          <w:szCs w:val="32"/>
          <w:shd w:val="clear" w:color="090000" w:fill="FFFFFF"/>
        </w:rPr>
        <w:t>2100</w:t>
      </w:r>
      <w:r>
        <w:rPr>
          <w:rFonts w:eastAsia="仿宋_GB2312"/>
          <w:sz w:val="32"/>
          <w:szCs w:val="32"/>
          <w:shd w:val="clear" w:color="090000" w:fill="FFFFFF"/>
        </w:rPr>
        <w:t>元测算，给予实际购置价格的</w:t>
      </w:r>
      <w:r>
        <w:rPr>
          <w:rFonts w:eastAsia="仿宋_GB2312"/>
          <w:sz w:val="32"/>
          <w:szCs w:val="32"/>
          <w:shd w:val="clear" w:color="090000" w:fill="FFFFFF"/>
        </w:rPr>
        <w:t>70%</w:t>
      </w:r>
      <w:r>
        <w:rPr>
          <w:rFonts w:eastAsia="仿宋_GB2312"/>
          <w:sz w:val="32"/>
          <w:szCs w:val="32"/>
          <w:shd w:val="clear" w:color="090000" w:fill="FFFFFF"/>
        </w:rPr>
        <w:t>补贴，即每户最高补贴资金</w:t>
      </w:r>
      <w:r>
        <w:rPr>
          <w:rFonts w:eastAsia="仿宋_GB2312"/>
          <w:sz w:val="32"/>
          <w:szCs w:val="32"/>
          <w:shd w:val="clear" w:color="090000" w:fill="FFFFFF"/>
        </w:rPr>
        <w:t>1470</w:t>
      </w:r>
      <w:r>
        <w:rPr>
          <w:rFonts w:eastAsia="仿宋_GB2312"/>
          <w:sz w:val="32"/>
          <w:szCs w:val="32"/>
          <w:shd w:val="clear" w:color="090000" w:fill="FFFFFF"/>
        </w:rPr>
        <w:t>元，省级和县（市、区）按</w:t>
      </w:r>
      <w:r>
        <w:rPr>
          <w:rFonts w:eastAsia="仿宋_GB2312"/>
          <w:sz w:val="32"/>
          <w:szCs w:val="32"/>
          <w:shd w:val="clear" w:color="090000" w:fill="FFFFFF"/>
        </w:rPr>
        <w:t>4</w:t>
      </w:r>
      <w:r>
        <w:rPr>
          <w:rFonts w:eastAsia="仿宋_GB2312"/>
          <w:sz w:val="32"/>
          <w:szCs w:val="32"/>
          <w:shd w:val="clear" w:color="090000" w:fill="FFFFFF"/>
        </w:rPr>
        <w:t>︰</w:t>
      </w:r>
      <w:r>
        <w:rPr>
          <w:rFonts w:eastAsia="仿宋_GB2312"/>
          <w:sz w:val="32"/>
          <w:szCs w:val="32"/>
          <w:shd w:val="clear" w:color="090000" w:fill="FFFFFF"/>
        </w:rPr>
        <w:t>1</w:t>
      </w:r>
      <w:r>
        <w:rPr>
          <w:rFonts w:eastAsia="仿宋_GB2312"/>
          <w:sz w:val="32"/>
          <w:szCs w:val="32"/>
          <w:shd w:val="clear" w:color="090000" w:fill="FFFFFF"/>
        </w:rPr>
        <w:t>比例分担，高出部分由农户自筹承担。</w:t>
      </w:r>
    </w:p>
    <w:p w:rsidR="00A564EB" w:rsidRDefault="006438FB">
      <w:pPr>
        <w:spacing w:line="600" w:lineRule="exact"/>
        <w:ind w:firstLineChars="200" w:firstLine="640"/>
        <w:contextualSpacing/>
        <w:rPr>
          <w:rFonts w:eastAsia="仿宋_GB2312"/>
          <w:sz w:val="32"/>
          <w:szCs w:val="32"/>
          <w:shd w:val="clear" w:color="090000" w:fill="FFFFFF"/>
        </w:rPr>
      </w:pPr>
      <w:r>
        <w:rPr>
          <w:rFonts w:eastAsia="仿宋_GB2312"/>
          <w:sz w:val="32"/>
          <w:szCs w:val="32"/>
          <w:shd w:val="clear" w:color="090000" w:fill="FFFFFF"/>
        </w:rPr>
        <w:t>11.</w:t>
      </w:r>
      <w:r>
        <w:rPr>
          <w:rFonts w:eastAsia="仿宋_GB2312"/>
          <w:sz w:val="32"/>
          <w:szCs w:val="32"/>
          <w:shd w:val="clear" w:color="090000" w:fill="FFFFFF"/>
        </w:rPr>
        <w:t>生物质锅炉补贴。</w:t>
      </w:r>
      <w:r>
        <w:rPr>
          <w:rFonts w:eastAsia="仿宋_GB2312"/>
          <w:sz w:val="32"/>
          <w:szCs w:val="32"/>
          <w:shd w:val="clear" w:color="090000" w:fill="FFFFFF"/>
        </w:rPr>
        <w:t>对哈尔滨市、齐齐哈尔市、绥化市、大庆市乡村两级（不含城中村和城市近郊区，其中城市供热网络能够辐射到的为城市近郊区）为农户集中供热的企业和政府、学校、卫生院等机关事业单位，改造或新建生物质锅炉替代燃煤锅炉，亚布力滑雪旅游度假区、雪乡旅游景区列入散煤污染治理</w:t>
      </w:r>
      <w:r>
        <w:rPr>
          <w:rFonts w:eastAsia="仿宋_GB2312"/>
          <w:sz w:val="32"/>
          <w:szCs w:val="32"/>
          <w:shd w:val="clear" w:color="090000" w:fill="FFFFFF"/>
        </w:rPr>
        <w:t>“</w:t>
      </w:r>
      <w:r>
        <w:rPr>
          <w:rFonts w:eastAsia="仿宋_GB2312"/>
          <w:sz w:val="32"/>
          <w:szCs w:val="32"/>
          <w:shd w:val="clear" w:color="090000" w:fill="FFFFFF"/>
        </w:rPr>
        <w:t>三重一改</w:t>
      </w:r>
      <w:r>
        <w:rPr>
          <w:rFonts w:eastAsia="仿宋_GB2312"/>
          <w:sz w:val="32"/>
          <w:szCs w:val="32"/>
          <w:shd w:val="clear" w:color="090000" w:fill="FFFFFF"/>
        </w:rPr>
        <w:t>”</w:t>
      </w:r>
      <w:r>
        <w:rPr>
          <w:rFonts w:eastAsia="仿宋_GB2312"/>
          <w:sz w:val="32"/>
          <w:szCs w:val="32"/>
          <w:shd w:val="clear" w:color="090000" w:fill="FFFFFF"/>
        </w:rPr>
        <w:t>的燃煤锅炉改造生物质锅炉，并实际燃用秸秆成型燃料</w:t>
      </w:r>
      <w:r>
        <w:rPr>
          <w:rFonts w:eastAsia="仿宋_GB2312"/>
          <w:sz w:val="32"/>
          <w:szCs w:val="32"/>
          <w:shd w:val="clear" w:color="090000" w:fill="FFFFFF"/>
        </w:rPr>
        <w:lastRenderedPageBreak/>
        <w:t>或秸秆打捆直燃的，每蒸吨给予</w:t>
      </w:r>
      <w:r>
        <w:rPr>
          <w:rFonts w:eastAsia="仿宋_GB2312"/>
          <w:sz w:val="32"/>
          <w:szCs w:val="32"/>
          <w:shd w:val="clear" w:color="090000" w:fill="FFFFFF"/>
        </w:rPr>
        <w:t>5</w:t>
      </w:r>
      <w:r>
        <w:rPr>
          <w:rFonts w:eastAsia="仿宋_GB2312"/>
          <w:sz w:val="32"/>
          <w:szCs w:val="32"/>
          <w:shd w:val="clear" w:color="090000" w:fill="FFFFFF"/>
        </w:rPr>
        <w:t>万元定额补贴，单个项目锅炉最高补贴额度不超过</w:t>
      </w:r>
      <w:r>
        <w:rPr>
          <w:rFonts w:eastAsia="仿宋_GB2312"/>
          <w:sz w:val="32"/>
          <w:szCs w:val="32"/>
          <w:shd w:val="clear" w:color="090000" w:fill="FFFFFF"/>
        </w:rPr>
        <w:t>50</w:t>
      </w:r>
      <w:r>
        <w:rPr>
          <w:rFonts w:eastAsia="仿宋_GB2312"/>
          <w:sz w:val="32"/>
          <w:szCs w:val="32"/>
          <w:shd w:val="clear" w:color="090000" w:fill="FFFFFF"/>
        </w:rPr>
        <w:t>万元。省级和县（市、区）按</w:t>
      </w:r>
      <w:r>
        <w:rPr>
          <w:rFonts w:eastAsia="仿宋_GB2312"/>
          <w:sz w:val="32"/>
          <w:szCs w:val="32"/>
          <w:shd w:val="clear" w:color="090000" w:fill="FFFFFF"/>
        </w:rPr>
        <w:t>4</w:t>
      </w:r>
      <w:r>
        <w:rPr>
          <w:rFonts w:eastAsia="仿宋_GB2312"/>
          <w:sz w:val="32"/>
          <w:szCs w:val="32"/>
          <w:shd w:val="clear" w:color="090000" w:fill="FFFFFF"/>
        </w:rPr>
        <w:t>︰</w:t>
      </w:r>
      <w:r>
        <w:rPr>
          <w:rFonts w:eastAsia="仿宋_GB2312"/>
          <w:sz w:val="32"/>
          <w:szCs w:val="32"/>
          <w:shd w:val="clear" w:color="090000" w:fill="FFFFFF"/>
        </w:rPr>
        <w:t>1</w:t>
      </w:r>
      <w:r>
        <w:rPr>
          <w:rFonts w:eastAsia="仿宋_GB2312"/>
          <w:sz w:val="32"/>
          <w:szCs w:val="32"/>
          <w:shd w:val="clear" w:color="090000" w:fill="FFFFFF"/>
        </w:rPr>
        <w:t>的比例分担。</w:t>
      </w:r>
    </w:p>
    <w:p w:rsidR="00A564EB" w:rsidRDefault="006438FB">
      <w:pPr>
        <w:pBdr>
          <w:bottom w:val="single" w:sz="4" w:space="17" w:color="FFFFFF"/>
        </w:pBdr>
        <w:adjustRightInd w:val="0"/>
        <w:spacing w:line="600" w:lineRule="exact"/>
        <w:ind w:firstLineChars="200" w:firstLine="640"/>
        <w:contextualSpacing/>
        <w:rPr>
          <w:rFonts w:eastAsia="黑体"/>
          <w:kern w:val="1"/>
          <w:sz w:val="32"/>
          <w:szCs w:val="32"/>
        </w:rPr>
      </w:pPr>
      <w:r>
        <w:rPr>
          <w:rFonts w:eastAsia="黑体"/>
          <w:kern w:val="1"/>
          <w:sz w:val="32"/>
          <w:szCs w:val="32"/>
        </w:rPr>
        <w:t>四、保障措施</w:t>
      </w:r>
    </w:p>
    <w:p w:rsidR="00A564EB" w:rsidRDefault="006438FB">
      <w:pPr>
        <w:pBdr>
          <w:bottom w:val="single" w:sz="4" w:space="17" w:color="FFFFFF"/>
        </w:pBdr>
        <w:adjustRightInd w:val="0"/>
        <w:spacing w:line="600" w:lineRule="exact"/>
        <w:ind w:firstLineChars="200" w:firstLine="640"/>
        <w:contextualSpacing/>
        <w:rPr>
          <w:rFonts w:eastAsia="仿宋_GB2312"/>
          <w:sz w:val="32"/>
          <w:szCs w:val="32"/>
          <w:shd w:val="clear" w:color="090000" w:fill="FFFFFF"/>
        </w:rPr>
      </w:pPr>
      <w:r>
        <w:rPr>
          <w:rFonts w:eastAsia="楷体_GB2312"/>
          <w:sz w:val="32"/>
          <w:szCs w:val="32"/>
          <w:shd w:val="clear" w:color="auto" w:fill="FFFFFF"/>
        </w:rPr>
        <w:t>（一）加强组织领导。</w:t>
      </w:r>
      <w:r>
        <w:rPr>
          <w:rFonts w:eastAsia="仿宋_GB2312"/>
          <w:sz w:val="32"/>
          <w:szCs w:val="32"/>
          <w:shd w:val="clear" w:color="090000" w:fill="FFFFFF"/>
        </w:rPr>
        <w:t>逐级签订秸秆综合利用任务书，实行专班推进、挂图作战。各相关市县政府是推进秸秆综合利用工作的责任主体，要把秸秆还田和离田工作任务纳入</w:t>
      </w:r>
      <w:r>
        <w:rPr>
          <w:rFonts w:eastAsia="仿宋_GB2312"/>
          <w:sz w:val="32"/>
          <w:szCs w:val="32"/>
          <w:shd w:val="clear" w:color="090000" w:fill="FFFFFF"/>
        </w:rPr>
        <w:t>“</w:t>
      </w:r>
      <w:r>
        <w:rPr>
          <w:rFonts w:eastAsia="仿宋_GB2312"/>
          <w:sz w:val="32"/>
          <w:szCs w:val="32"/>
          <w:shd w:val="clear" w:color="090000" w:fill="FFFFFF"/>
        </w:rPr>
        <w:t>田长制</w:t>
      </w:r>
      <w:r>
        <w:rPr>
          <w:rFonts w:eastAsia="仿宋_GB2312"/>
          <w:sz w:val="32"/>
          <w:szCs w:val="32"/>
          <w:shd w:val="clear" w:color="090000" w:fill="FFFFFF"/>
        </w:rPr>
        <w:t>”</w:t>
      </w:r>
      <w:r>
        <w:rPr>
          <w:rFonts w:eastAsia="仿宋_GB2312"/>
          <w:sz w:val="32"/>
          <w:szCs w:val="32"/>
          <w:shd w:val="clear" w:color="090000" w:fill="FFFFFF"/>
        </w:rPr>
        <w:t>管理，作业措施要落实到农户和地块。各地要结合本地实际编制秸秆综合利用年度工作方案，在保证完成秸秆综合利用率的基础上，可灵活选择各项利用途径。</w:t>
      </w:r>
      <w:r>
        <w:rPr>
          <w:rFonts w:eastAsia="仿宋_GB2312"/>
          <w:sz w:val="32"/>
          <w:szCs w:val="32"/>
          <w:shd w:val="clear" w:color="090000" w:fill="FFFFFF"/>
        </w:rPr>
        <w:t>20</w:t>
      </w:r>
      <w:r>
        <w:rPr>
          <w:rFonts w:eastAsia="仿宋_GB2312"/>
          <w:sz w:val="32"/>
          <w:szCs w:val="32"/>
          <w:shd w:val="clear" w:color="090000" w:fill="FFFFFF"/>
        </w:rPr>
        <w:t>个国家秸秆综合利用重点县和</w:t>
      </w:r>
      <w:r>
        <w:rPr>
          <w:rFonts w:eastAsia="仿宋_GB2312"/>
          <w:sz w:val="32"/>
          <w:szCs w:val="32"/>
          <w:shd w:val="clear" w:color="090000" w:fill="FFFFFF"/>
        </w:rPr>
        <w:t>2</w:t>
      </w:r>
      <w:r>
        <w:rPr>
          <w:rFonts w:eastAsia="仿宋_GB2312"/>
          <w:sz w:val="32"/>
          <w:szCs w:val="32"/>
          <w:shd w:val="clear" w:color="090000" w:fill="FFFFFF"/>
        </w:rPr>
        <w:t>个</w:t>
      </w:r>
      <w:r>
        <w:rPr>
          <w:rFonts w:eastAsia="仿宋_GB2312"/>
          <w:sz w:val="32"/>
          <w:szCs w:val="32"/>
        </w:rPr>
        <w:t>补偿制度试点县</w:t>
      </w:r>
      <w:r>
        <w:rPr>
          <w:rFonts w:eastAsia="仿宋_GB2312"/>
          <w:sz w:val="32"/>
          <w:szCs w:val="32"/>
          <w:shd w:val="clear" w:color="090000" w:fill="FFFFFF"/>
        </w:rPr>
        <w:t>要制定实施方案，形成工作总结，并严格按照农业农村部绩效评价要求完成各项工作任务。在秸秆利用周期内实行周调度、半月通报、定期约谈制度，各县（市、区）要安排专人，按时上报秸秆综合利用工作推</w:t>
      </w:r>
      <w:r>
        <w:rPr>
          <w:rFonts w:eastAsia="仿宋_GB2312"/>
          <w:sz w:val="32"/>
          <w:szCs w:val="32"/>
          <w:shd w:val="clear" w:color="090000" w:fill="FFFFFF"/>
        </w:rPr>
        <w:t>进和项目建设进展情况。</w:t>
      </w:r>
    </w:p>
    <w:p w:rsidR="00A564EB" w:rsidRDefault="006438FB">
      <w:pPr>
        <w:pBdr>
          <w:bottom w:val="single" w:sz="4" w:space="17" w:color="FFFFFF"/>
        </w:pBdr>
        <w:adjustRightInd w:val="0"/>
        <w:spacing w:line="600" w:lineRule="exact"/>
        <w:ind w:firstLineChars="200" w:firstLine="640"/>
        <w:contextualSpacing/>
        <w:rPr>
          <w:rFonts w:eastAsia="仿宋_GB2312"/>
          <w:sz w:val="32"/>
          <w:szCs w:val="32"/>
          <w:shd w:val="clear" w:color="090000" w:fill="FFFFFF"/>
        </w:rPr>
      </w:pPr>
      <w:r>
        <w:rPr>
          <w:rFonts w:eastAsia="楷体_GB2312"/>
          <w:sz w:val="32"/>
          <w:szCs w:val="32"/>
          <w:shd w:val="clear" w:color="auto" w:fill="FFFFFF"/>
        </w:rPr>
        <w:t>（二）明确职责分工。</w:t>
      </w:r>
      <w:r>
        <w:rPr>
          <w:rFonts w:eastAsia="仿宋_GB2312"/>
          <w:sz w:val="32"/>
          <w:szCs w:val="32"/>
          <w:shd w:val="clear" w:color="090000" w:fill="FFFFFF"/>
        </w:rPr>
        <w:t>省秸秆综合利用工作联席会议办公室负责统筹协调和具体推进。省农业农村厅负责秸秆肥料化、饲料化、基料化、固化压块以及秸秆机械化还田指导工作。省发改委负责生物质发电项目核准和建设推广工作。省财政厅根据建设任务的资金需求量，做好资金筹措和拨付工作。省生态环境厅负责抓好秸秆禁烧工作，与省工信厅、省住建厅督促地方政府推进燃煤小锅炉淘汰工作。省科技厅负责秸秆综合利用技术的研发和成</w:t>
      </w:r>
      <w:r>
        <w:rPr>
          <w:rFonts w:eastAsia="仿宋_GB2312"/>
          <w:sz w:val="32"/>
          <w:szCs w:val="32"/>
          <w:shd w:val="clear" w:color="090000" w:fill="FFFFFF"/>
        </w:rPr>
        <w:lastRenderedPageBreak/>
        <w:t>果转化。省工信厅负责秸秆工业原料化利用项目推进工作。省自然资源厅负责对秸秆综合利用重点项目建设用地给</w:t>
      </w:r>
      <w:r>
        <w:rPr>
          <w:rFonts w:eastAsia="仿宋_GB2312"/>
          <w:sz w:val="32"/>
          <w:szCs w:val="32"/>
          <w:shd w:val="clear" w:color="090000" w:fill="FFFFFF"/>
        </w:rPr>
        <w:t>予支持，将秸秆综合利用项目纳入各地国土空间规划，并积极做好项目用地预审等前期工作。省税务局负责落实好秸秆综合利用税收优惠政策，对符合条件的企业给予增值税即征即退和企业所得税减计收入等政策支持。电力部门负责落实对从事秸秆捡拾、切割、粉碎、打捆、压块等初加工用电按农业生产电价执行等政策。人民银行</w:t>
      </w:r>
      <w:r>
        <w:rPr>
          <w:rFonts w:eastAsia="仿宋_GB2312"/>
          <w:sz w:val="32"/>
          <w:szCs w:val="32"/>
          <w:shd w:val="clear" w:color="090000" w:fill="FFFFFF"/>
        </w:rPr>
        <w:t>哈尔滨中心支行、</w:t>
      </w:r>
      <w:r>
        <w:rPr>
          <w:rFonts w:eastAsia="仿宋_GB2312"/>
          <w:sz w:val="32"/>
          <w:szCs w:val="32"/>
          <w:shd w:val="clear" w:color="090000" w:fill="FFFFFF"/>
        </w:rPr>
        <w:t>黑龙江</w:t>
      </w:r>
      <w:r>
        <w:rPr>
          <w:rFonts w:eastAsia="仿宋_GB2312"/>
          <w:sz w:val="32"/>
          <w:szCs w:val="32"/>
          <w:shd w:val="clear" w:color="090000" w:fill="FFFFFF"/>
        </w:rPr>
        <w:t>银保监局等金融部门要引导全省银行机</w:t>
      </w:r>
      <w:r>
        <w:rPr>
          <w:rFonts w:eastAsia="仿宋_GB2312"/>
          <w:sz w:val="32"/>
          <w:szCs w:val="32"/>
          <w:shd w:val="clear" w:color="090000" w:fill="FFFFFF"/>
        </w:rPr>
        <w:t>构积极给予符合条件的秸秆综合利用的企业贷款政策支持。</w:t>
      </w:r>
    </w:p>
    <w:p w:rsidR="00A564EB" w:rsidRDefault="006438FB">
      <w:pPr>
        <w:pBdr>
          <w:bottom w:val="single" w:sz="4" w:space="17" w:color="FFFFFF"/>
        </w:pBdr>
        <w:adjustRightInd w:val="0"/>
        <w:spacing w:line="600" w:lineRule="exact"/>
        <w:ind w:firstLineChars="200" w:firstLine="640"/>
        <w:contextualSpacing/>
        <w:rPr>
          <w:rFonts w:eastAsia="仿宋_GB2312"/>
          <w:sz w:val="32"/>
          <w:szCs w:val="32"/>
          <w:shd w:val="clear" w:color="090000" w:fill="FFFFFF"/>
        </w:rPr>
      </w:pPr>
      <w:r>
        <w:rPr>
          <w:rFonts w:eastAsia="楷体_GB2312"/>
          <w:sz w:val="32"/>
          <w:szCs w:val="32"/>
          <w:shd w:val="clear" w:color="auto" w:fill="FFFFFF"/>
        </w:rPr>
        <w:t>（三）完善扶持政策。</w:t>
      </w:r>
      <w:r>
        <w:rPr>
          <w:rFonts w:eastAsia="仿宋_GB2312"/>
          <w:sz w:val="32"/>
          <w:szCs w:val="32"/>
          <w:shd w:val="clear" w:color="090000" w:fill="FFFFFF"/>
        </w:rPr>
        <w:t>继续实施</w:t>
      </w:r>
      <w:r>
        <w:rPr>
          <w:rFonts w:eastAsia="仿宋_GB2312"/>
          <w:sz w:val="32"/>
          <w:szCs w:val="32"/>
          <w:shd w:val="clear" w:color="090000" w:fill="FFFFFF"/>
        </w:rPr>
        <w:t>“</w:t>
      </w:r>
      <w:r>
        <w:rPr>
          <w:rFonts w:eastAsia="仿宋_GB2312"/>
          <w:sz w:val="32"/>
          <w:szCs w:val="32"/>
          <w:shd w:val="clear" w:color="090000" w:fill="FFFFFF"/>
        </w:rPr>
        <w:t>先行预拨、据实结算</w:t>
      </w:r>
      <w:r>
        <w:rPr>
          <w:rFonts w:eastAsia="仿宋_GB2312"/>
          <w:sz w:val="32"/>
          <w:szCs w:val="32"/>
          <w:shd w:val="clear" w:color="090000" w:fill="FFFFFF"/>
        </w:rPr>
        <w:t>”</w:t>
      </w:r>
      <w:r>
        <w:rPr>
          <w:rFonts w:eastAsia="仿宋_GB2312"/>
          <w:sz w:val="32"/>
          <w:szCs w:val="32"/>
          <w:shd w:val="clear" w:color="090000" w:fill="FFFFFF"/>
        </w:rPr>
        <w:t>制度，省级财政根据各地秸秆综合利用任务量申报情况以砍块形式先</w:t>
      </w:r>
      <w:r>
        <w:rPr>
          <w:rFonts w:eastAsia="仿宋_GB2312"/>
          <w:sz w:val="32"/>
          <w:szCs w:val="32"/>
          <w:shd w:val="clear" w:color="090000" w:fill="FFFFFF"/>
        </w:rPr>
        <w:t>行预拨部分补助资金，各地可根据秸秆实际利用情况调剂使用，到本年度秸秆利用周期结束后省级财政将根据项目实际完成情况再据实结算。同时，充分发挥政府投资撬动作用，吸引社会资金投入秸秆综合利用领域，提高资金使用效益。市县按照财政事权与支出责任相适应的原则，承担本级相应支出责任，统筹整合相关渠道资金，有效保障秸秆综合利用工作。</w:t>
      </w:r>
    </w:p>
    <w:p w:rsidR="00A564EB" w:rsidRDefault="006438FB">
      <w:pPr>
        <w:pBdr>
          <w:bottom w:val="single" w:sz="4" w:space="17" w:color="FFFFFF"/>
        </w:pBdr>
        <w:adjustRightInd w:val="0"/>
        <w:spacing w:line="600" w:lineRule="exact"/>
        <w:ind w:firstLineChars="200" w:firstLine="640"/>
        <w:contextualSpacing/>
        <w:rPr>
          <w:rFonts w:eastAsia="仿宋_GB2312"/>
          <w:sz w:val="32"/>
          <w:szCs w:val="32"/>
          <w:shd w:val="clear" w:color="090000" w:fill="FFFFFF"/>
        </w:rPr>
      </w:pPr>
      <w:r>
        <w:rPr>
          <w:rFonts w:eastAsia="楷体_GB2312"/>
          <w:sz w:val="32"/>
          <w:szCs w:val="32"/>
          <w:shd w:val="clear" w:color="auto" w:fill="FFFFFF"/>
        </w:rPr>
        <w:t>（四）加强供需衔接</w:t>
      </w:r>
      <w:bookmarkStart w:id="1" w:name="bookmark17"/>
      <w:r>
        <w:rPr>
          <w:rFonts w:eastAsia="楷体_GB2312"/>
          <w:sz w:val="32"/>
          <w:szCs w:val="32"/>
          <w:shd w:val="clear" w:color="auto" w:fill="FFFFFF"/>
        </w:rPr>
        <w:t>。</w:t>
      </w:r>
      <w:r>
        <w:rPr>
          <w:rFonts w:eastAsia="仿宋_GB2312"/>
          <w:sz w:val="32"/>
          <w:szCs w:val="32"/>
          <w:shd w:val="clear" w:color="090000" w:fill="FFFFFF"/>
        </w:rPr>
        <w:t>辖区内有已建成投产且运行稳定或年内可建成投产的生物质发电厂和大型秸秆产业化利用企业的县（市、区），可按照</w:t>
      </w:r>
      <w:r>
        <w:rPr>
          <w:rFonts w:eastAsia="仿宋_GB2312"/>
          <w:sz w:val="32"/>
          <w:szCs w:val="32"/>
          <w:shd w:val="clear" w:color="090000" w:fill="FFFFFF"/>
        </w:rPr>
        <w:t>“</w:t>
      </w:r>
      <w:r>
        <w:rPr>
          <w:rFonts w:eastAsia="仿宋_GB2312"/>
          <w:sz w:val="32"/>
          <w:szCs w:val="32"/>
          <w:shd w:val="clear" w:color="090000" w:fill="FFFFFF"/>
        </w:rPr>
        <w:t>政府划区、市场运作、企业负责</w:t>
      </w:r>
      <w:r>
        <w:rPr>
          <w:rFonts w:eastAsia="仿宋_GB2312"/>
          <w:sz w:val="32"/>
          <w:szCs w:val="32"/>
          <w:shd w:val="clear" w:color="090000" w:fill="FFFFFF"/>
        </w:rPr>
        <w:t>”</w:t>
      </w:r>
      <w:r>
        <w:rPr>
          <w:rFonts w:eastAsia="仿宋_GB2312"/>
          <w:sz w:val="32"/>
          <w:szCs w:val="32"/>
          <w:shd w:val="clear" w:color="090000" w:fill="FFFFFF"/>
        </w:rPr>
        <w:t>的原则，由政府统筹规划秸秆资源供应，</w:t>
      </w:r>
      <w:r>
        <w:rPr>
          <w:rFonts w:eastAsia="仿宋_GB2312"/>
          <w:sz w:val="32"/>
          <w:szCs w:val="32"/>
          <w:shd w:val="clear" w:color="090000" w:fill="FFFFFF"/>
        </w:rPr>
        <w:t>根据企业的秸秆需求量划定秸秆</w:t>
      </w:r>
      <w:r>
        <w:rPr>
          <w:rFonts w:eastAsia="仿宋_GB2312"/>
          <w:sz w:val="32"/>
          <w:szCs w:val="32"/>
          <w:shd w:val="clear" w:color="090000" w:fill="FFFFFF"/>
        </w:rPr>
        <w:lastRenderedPageBreak/>
        <w:t>离田收储保障区域，明确秸秆利用企业、作业主体和种植者之间的权责利益关系。指导利用企业和作业主体合理选择作业和收储方式进行秸秆离田利用。秸秆原料价格以市场调节为主，各县（市、区）可结合实际，制定当地秸秆最高限价。</w:t>
      </w:r>
      <w:bookmarkEnd w:id="1"/>
    </w:p>
    <w:p w:rsidR="00A564EB" w:rsidRDefault="006438FB">
      <w:pPr>
        <w:pBdr>
          <w:bottom w:val="single" w:sz="4" w:space="17" w:color="FFFFFF"/>
        </w:pBdr>
        <w:adjustRightInd w:val="0"/>
        <w:spacing w:line="600" w:lineRule="exact"/>
        <w:ind w:firstLineChars="200" w:firstLine="640"/>
        <w:contextualSpacing/>
        <w:rPr>
          <w:rFonts w:eastAsia="仿宋_GB2312"/>
          <w:sz w:val="32"/>
          <w:szCs w:val="32"/>
          <w:shd w:val="clear" w:color="090000" w:fill="FFFFFF"/>
        </w:rPr>
      </w:pPr>
      <w:r>
        <w:rPr>
          <w:rFonts w:eastAsia="楷体_GB2312"/>
          <w:sz w:val="32"/>
          <w:szCs w:val="32"/>
          <w:shd w:val="clear" w:color="auto" w:fill="FFFFFF"/>
        </w:rPr>
        <w:t>（五）强化技术支撑。</w:t>
      </w:r>
      <w:r>
        <w:rPr>
          <w:rFonts w:eastAsia="仿宋_GB2312"/>
          <w:sz w:val="32"/>
          <w:szCs w:val="32"/>
          <w:shd w:val="clear" w:color="090000" w:fill="FFFFFF"/>
        </w:rPr>
        <w:t>加强秸秆综合利用领域成果转化和技术推广工作。积极发挥省秸秆综合利用技术指导组作用，以县乡两级农技推广部门为平台，加强技术培训和指导，推广简便实用的秸秆综合利用技术。培育秸秆综合利用的服务主体，发挥农业社会化服务组织服务小农户的作用，提高秸秆综合利用能力</w:t>
      </w:r>
      <w:r>
        <w:rPr>
          <w:rFonts w:eastAsia="仿宋_GB2312"/>
          <w:sz w:val="32"/>
          <w:szCs w:val="32"/>
          <w:shd w:val="clear" w:color="090000" w:fill="FFFFFF"/>
        </w:rPr>
        <w:t>。</w:t>
      </w:r>
    </w:p>
    <w:p w:rsidR="00A564EB" w:rsidRDefault="006438FB">
      <w:pPr>
        <w:pBdr>
          <w:bottom w:val="single" w:sz="4" w:space="17" w:color="FFFFFF"/>
        </w:pBdr>
        <w:adjustRightInd w:val="0"/>
        <w:spacing w:line="600" w:lineRule="exact"/>
        <w:ind w:firstLineChars="200" w:firstLine="640"/>
        <w:contextualSpacing/>
        <w:rPr>
          <w:rFonts w:eastAsia="仿宋_GB2312"/>
          <w:sz w:val="32"/>
          <w:szCs w:val="32"/>
          <w:shd w:val="clear" w:color="090000" w:fill="FFFFFF"/>
        </w:rPr>
      </w:pPr>
      <w:r>
        <w:rPr>
          <w:rFonts w:eastAsia="楷体_GB2312"/>
          <w:sz w:val="32"/>
          <w:szCs w:val="32"/>
          <w:shd w:val="clear" w:color="auto" w:fill="FFFFFF"/>
        </w:rPr>
        <w:t>（六）加大宣传力度。</w:t>
      </w:r>
      <w:r>
        <w:rPr>
          <w:rFonts w:eastAsia="仿宋_GB2312"/>
          <w:sz w:val="32"/>
          <w:szCs w:val="32"/>
          <w:shd w:val="clear" w:color="090000" w:fill="FFFFFF"/>
        </w:rPr>
        <w:t>发挥新闻媒体的舆论引导和监督作用，充分利用电视、广播、报纸、互联网等多种手段，大力宣传秸秆综合利用扶持政策，进一步提高农民主动参与意识。适时举办秸秆综合利用产业发展现场会、展示会，打造秸秆综合利用示范样板，增强辐射带动效应，提升全省秸秆综合利用水平。</w:t>
      </w:r>
    </w:p>
    <w:p w:rsidR="00A564EB" w:rsidRDefault="006438FB">
      <w:pPr>
        <w:pBdr>
          <w:bottom w:val="single" w:sz="4" w:space="17" w:color="FFFFFF"/>
        </w:pBdr>
        <w:adjustRightInd w:val="0"/>
        <w:spacing w:line="600" w:lineRule="exact"/>
        <w:ind w:firstLineChars="200" w:firstLine="640"/>
        <w:contextualSpacing/>
        <w:rPr>
          <w:rFonts w:eastAsia="仿宋_GB2312"/>
          <w:sz w:val="32"/>
          <w:szCs w:val="32"/>
          <w:shd w:val="clear" w:color="090000" w:fill="FFFFFF"/>
        </w:rPr>
      </w:pPr>
      <w:r>
        <w:rPr>
          <w:rFonts w:eastAsia="楷体_GB2312"/>
          <w:sz w:val="32"/>
          <w:szCs w:val="32"/>
          <w:shd w:val="clear" w:color="auto" w:fill="FFFFFF"/>
        </w:rPr>
        <w:t>（七）严格工作考核。</w:t>
      </w:r>
      <w:r>
        <w:rPr>
          <w:rFonts w:eastAsia="仿宋_GB2312"/>
          <w:sz w:val="32"/>
          <w:szCs w:val="32"/>
          <w:shd w:val="clear" w:color="090000" w:fill="FFFFFF"/>
        </w:rPr>
        <w:t>将秸秆综合利用工作实施情况纳入目标考核体系，实行目标管理。省级制定验收标准和考核办法，开展重点考核和总体评价，对不能保质保量完成目标任务的，进行通报批评，秸秆综合利用率、还田率未完成既定任务目标和出现秸秆焚烧火点的要</w:t>
      </w:r>
      <w:r>
        <w:rPr>
          <w:rFonts w:eastAsia="仿宋_GB2312"/>
          <w:sz w:val="32"/>
          <w:szCs w:val="32"/>
          <w:shd w:val="clear" w:color="090000" w:fill="FFFFFF"/>
        </w:rPr>
        <w:t>扣拨补助资金。秸秆资源台账系统中利用率和还田率比既定目标每低</w:t>
      </w:r>
      <w:r>
        <w:rPr>
          <w:rFonts w:eastAsia="仿宋_GB2312"/>
          <w:sz w:val="32"/>
          <w:szCs w:val="32"/>
          <w:shd w:val="clear" w:color="090000" w:fill="FFFFFF"/>
        </w:rPr>
        <w:t>1</w:t>
      </w:r>
      <w:r>
        <w:rPr>
          <w:rFonts w:eastAsia="仿宋_GB2312"/>
          <w:sz w:val="32"/>
          <w:szCs w:val="32"/>
          <w:shd w:val="clear" w:color="090000" w:fill="FFFFFF"/>
        </w:rPr>
        <w:t>个百分点，以县（市、区）为单位扣缴年度秸秆综合利用资金</w:t>
      </w:r>
      <w:r>
        <w:rPr>
          <w:rFonts w:eastAsia="仿宋_GB2312"/>
          <w:sz w:val="32"/>
          <w:szCs w:val="32"/>
          <w:shd w:val="clear" w:color="090000" w:fill="FFFFFF"/>
        </w:rPr>
        <w:t>100</w:t>
      </w:r>
      <w:r>
        <w:rPr>
          <w:rFonts w:eastAsia="仿宋_GB2312"/>
          <w:sz w:val="32"/>
          <w:szCs w:val="32"/>
          <w:shd w:val="clear" w:color="090000" w:fill="FFFFFF"/>
        </w:rPr>
        <w:t>万元。经生态环境部门核定每出现</w:t>
      </w:r>
      <w:r>
        <w:rPr>
          <w:rFonts w:eastAsia="仿宋_GB2312"/>
          <w:sz w:val="32"/>
          <w:szCs w:val="32"/>
          <w:shd w:val="clear" w:color="090000" w:fill="FFFFFF"/>
        </w:rPr>
        <w:t>1</w:t>
      </w:r>
      <w:r>
        <w:rPr>
          <w:rFonts w:eastAsia="仿宋_GB2312"/>
          <w:sz w:val="32"/>
          <w:szCs w:val="32"/>
          <w:shd w:val="clear" w:color="090000" w:fill="FFFFFF"/>
        </w:rPr>
        <w:lastRenderedPageBreak/>
        <w:t>个秸秆焚烧火点，以县（市、区）为单位扣缴年度秸秆综合利用资金</w:t>
      </w:r>
      <w:r>
        <w:rPr>
          <w:rFonts w:eastAsia="仿宋_GB2312"/>
          <w:sz w:val="32"/>
          <w:szCs w:val="32"/>
          <w:shd w:val="clear" w:color="090000" w:fill="FFFFFF"/>
        </w:rPr>
        <w:t>100</w:t>
      </w:r>
      <w:r>
        <w:rPr>
          <w:rFonts w:eastAsia="仿宋_GB2312"/>
          <w:sz w:val="32"/>
          <w:szCs w:val="32"/>
          <w:shd w:val="clear" w:color="090000" w:fill="FFFFFF"/>
        </w:rPr>
        <w:t>万元；每出现</w:t>
      </w:r>
      <w:r>
        <w:rPr>
          <w:rFonts w:eastAsia="仿宋_GB2312"/>
          <w:sz w:val="32"/>
          <w:szCs w:val="32"/>
          <w:shd w:val="clear" w:color="090000" w:fill="FFFFFF"/>
        </w:rPr>
        <w:t>1</w:t>
      </w:r>
      <w:r>
        <w:rPr>
          <w:rFonts w:eastAsia="仿宋_GB2312"/>
          <w:sz w:val="32"/>
          <w:szCs w:val="32"/>
          <w:shd w:val="clear" w:color="090000" w:fill="FFFFFF"/>
        </w:rPr>
        <w:t>个秸秆残余物焚烧火点，以县（市、区）为单位扣缴年度秸秆综合利用资金</w:t>
      </w:r>
      <w:r>
        <w:rPr>
          <w:rFonts w:eastAsia="仿宋_GB2312"/>
          <w:sz w:val="32"/>
          <w:szCs w:val="32"/>
          <w:shd w:val="clear" w:color="090000" w:fill="FFFFFF"/>
        </w:rPr>
        <w:t>50</w:t>
      </w:r>
      <w:r>
        <w:rPr>
          <w:rFonts w:eastAsia="仿宋_GB2312"/>
          <w:sz w:val="32"/>
          <w:szCs w:val="32"/>
          <w:shd w:val="clear" w:color="090000" w:fill="FFFFFF"/>
        </w:rPr>
        <w:t>万元。性质严重的，要进行约谈和严肃问责。对发现的违规违纪现象，坚决从重从严查处，严肃追究责任。</w:t>
      </w:r>
      <w:r>
        <w:rPr>
          <w:rFonts w:eastAsia="仿宋_GB2312"/>
          <w:sz w:val="32"/>
          <w:szCs w:val="32"/>
          <w:shd w:val="clear" w:color="090000" w:fill="FFFFFF"/>
        </w:rPr>
        <w:t xml:space="preserve"> </w:t>
      </w:r>
    </w:p>
    <w:p w:rsidR="00A564EB" w:rsidRDefault="006438FB">
      <w:pPr>
        <w:pBdr>
          <w:bottom w:val="single" w:sz="4" w:space="17" w:color="FFFFFF"/>
        </w:pBdr>
        <w:adjustRightInd w:val="0"/>
        <w:spacing w:line="600" w:lineRule="exact"/>
        <w:ind w:firstLineChars="200" w:firstLine="640"/>
        <w:contextualSpacing/>
        <w:rPr>
          <w:rFonts w:eastAsia="仿宋_GB2312"/>
          <w:sz w:val="32"/>
          <w:szCs w:val="32"/>
          <w:shd w:val="clear" w:color="090000" w:fill="FFFFFF"/>
        </w:rPr>
      </w:pPr>
      <w:r>
        <w:rPr>
          <w:rFonts w:eastAsia="仿宋_GB2312"/>
          <w:sz w:val="32"/>
          <w:szCs w:val="32"/>
          <w:shd w:val="clear" w:color="090000" w:fill="FFFFFF"/>
        </w:rPr>
        <w:t>本方案自印发之日起施行。</w:t>
      </w:r>
    </w:p>
    <w:p w:rsidR="00A564EB" w:rsidRDefault="00A564EB">
      <w:pPr>
        <w:pBdr>
          <w:bottom w:val="single" w:sz="4" w:space="17" w:color="FFFFFF"/>
        </w:pBdr>
        <w:adjustRightInd w:val="0"/>
        <w:spacing w:line="600" w:lineRule="exact"/>
        <w:ind w:firstLineChars="200" w:firstLine="640"/>
        <w:contextualSpacing/>
        <w:rPr>
          <w:rFonts w:eastAsia="仿宋_GB2312"/>
          <w:sz w:val="32"/>
          <w:szCs w:val="32"/>
          <w:shd w:val="clear" w:color="090000" w:fill="FFFFFF"/>
        </w:rPr>
      </w:pPr>
    </w:p>
    <w:p w:rsidR="00A564EB" w:rsidRDefault="006438FB">
      <w:pPr>
        <w:pBdr>
          <w:bottom w:val="single" w:sz="4" w:space="17" w:color="FFFFFF"/>
        </w:pBdr>
        <w:adjustRightInd w:val="0"/>
        <w:spacing w:line="600" w:lineRule="exact"/>
        <w:ind w:firstLineChars="200" w:firstLine="640"/>
        <w:contextualSpacing/>
        <w:rPr>
          <w:rFonts w:eastAsia="仿宋_GB2312"/>
          <w:sz w:val="32"/>
          <w:szCs w:val="32"/>
        </w:rPr>
      </w:pPr>
      <w:r>
        <w:rPr>
          <w:rFonts w:eastAsia="仿宋_GB2312"/>
          <w:sz w:val="32"/>
          <w:szCs w:val="32"/>
        </w:rPr>
        <w:t>附件：</w:t>
      </w:r>
      <w:r>
        <w:rPr>
          <w:rFonts w:eastAsia="仿宋_GB2312"/>
          <w:sz w:val="32"/>
          <w:szCs w:val="32"/>
        </w:rPr>
        <w:t>1.2021</w:t>
      </w:r>
      <w:r>
        <w:rPr>
          <w:rFonts w:eastAsia="仿宋_GB2312"/>
          <w:sz w:val="32"/>
          <w:szCs w:val="32"/>
        </w:rPr>
        <w:t>年各地秸秆综合利用目标任务</w:t>
      </w:r>
    </w:p>
    <w:p w:rsidR="00A564EB" w:rsidRDefault="006438FB">
      <w:pPr>
        <w:pBdr>
          <w:bottom w:val="single" w:sz="4" w:space="17" w:color="FFFFFF"/>
        </w:pBdr>
        <w:adjustRightInd w:val="0"/>
        <w:spacing w:line="600" w:lineRule="exact"/>
        <w:ind w:firstLineChars="450" w:firstLine="1440"/>
        <w:contextualSpacing/>
        <w:rPr>
          <w:rFonts w:eastAsia="仿宋_GB2312"/>
          <w:sz w:val="32"/>
          <w:szCs w:val="32"/>
          <w:shd w:val="clear" w:color="090000" w:fill="FFFFFF"/>
        </w:rPr>
      </w:pPr>
      <w:r>
        <w:rPr>
          <w:rFonts w:eastAsia="仿宋_GB2312"/>
          <w:sz w:val="32"/>
          <w:szCs w:val="32"/>
        </w:rPr>
        <w:t xml:space="preserve"> 2.2021</w:t>
      </w:r>
      <w:r>
        <w:rPr>
          <w:rFonts w:eastAsia="仿宋_GB2312"/>
          <w:sz w:val="32"/>
          <w:szCs w:val="32"/>
        </w:rPr>
        <w:t>年国家秸秆综合利用重点县（市、区）和补偿制度县（市、区）名单</w:t>
      </w:r>
    </w:p>
    <w:p w:rsidR="00A564EB" w:rsidRDefault="00A564EB">
      <w:pPr>
        <w:spacing w:line="600" w:lineRule="exact"/>
        <w:contextualSpacing/>
        <w:jc w:val="center"/>
        <w:rPr>
          <w:rFonts w:eastAsia="华文仿宋"/>
          <w:sz w:val="32"/>
          <w:szCs w:val="32"/>
          <w:shd w:val="clear" w:color="090000" w:fill="FFFFFF"/>
        </w:rPr>
      </w:pPr>
    </w:p>
    <w:p w:rsidR="00A564EB" w:rsidRDefault="00A564EB">
      <w:pPr>
        <w:spacing w:line="600" w:lineRule="exact"/>
        <w:contextualSpacing/>
        <w:jc w:val="center"/>
        <w:rPr>
          <w:rFonts w:eastAsia="华文仿宋"/>
          <w:sz w:val="32"/>
          <w:szCs w:val="32"/>
          <w:shd w:val="clear" w:color="090000" w:fill="FFFFFF"/>
        </w:rPr>
      </w:pPr>
    </w:p>
    <w:p w:rsidR="00A564EB" w:rsidRDefault="00A564EB">
      <w:pPr>
        <w:pStyle w:val="a0"/>
      </w:pPr>
    </w:p>
    <w:p w:rsidR="00A564EB" w:rsidRDefault="006438FB">
      <w:pPr>
        <w:pStyle w:val="a0"/>
        <w:spacing w:after="0" w:line="600" w:lineRule="exact"/>
        <w:contextualSpacing/>
        <w:rPr>
          <w:shd w:val="clear" w:color="090000" w:fill="FFFFFF"/>
        </w:rPr>
      </w:pPr>
      <w:r>
        <w:rPr>
          <w:shd w:val="clear" w:color="090000" w:fill="FFFFFF"/>
        </w:rPr>
        <w:br w:type="page"/>
      </w:r>
    </w:p>
    <w:p w:rsidR="00A564EB" w:rsidRDefault="006438FB">
      <w:pPr>
        <w:pStyle w:val="a0"/>
        <w:spacing w:line="560" w:lineRule="exact"/>
        <w:rPr>
          <w:rFonts w:eastAsia="华文仿宋"/>
          <w:sz w:val="32"/>
          <w:szCs w:val="32"/>
          <w:shd w:val="clear" w:color="090000" w:fill="FFFFFF"/>
        </w:rPr>
      </w:pPr>
      <w:r>
        <w:rPr>
          <w:rFonts w:eastAsia="华文仿宋"/>
          <w:sz w:val="32"/>
          <w:szCs w:val="32"/>
          <w:shd w:val="clear" w:color="090000" w:fill="FFFFFF"/>
        </w:rPr>
        <w:lastRenderedPageBreak/>
        <w:t>附件</w:t>
      </w:r>
      <w:r>
        <w:rPr>
          <w:rFonts w:eastAsia="华文仿宋"/>
          <w:sz w:val="32"/>
          <w:szCs w:val="32"/>
          <w:shd w:val="clear" w:color="090000" w:fill="FFFFFF"/>
        </w:rPr>
        <w:t>1</w:t>
      </w:r>
      <w:r>
        <w:rPr>
          <w:rFonts w:eastAsia="华文仿宋"/>
          <w:sz w:val="32"/>
          <w:szCs w:val="32"/>
          <w:shd w:val="clear" w:color="090000" w:fill="FFFFFF"/>
        </w:rPr>
        <w:t>：</w:t>
      </w:r>
    </w:p>
    <w:p w:rsidR="00A564EB" w:rsidRDefault="006438FB">
      <w:pPr>
        <w:pStyle w:val="a0"/>
        <w:spacing w:line="560" w:lineRule="exact"/>
        <w:jc w:val="center"/>
        <w:rPr>
          <w:rFonts w:eastAsia="方正小标宋_GBK"/>
          <w:sz w:val="44"/>
          <w:szCs w:val="44"/>
        </w:rPr>
      </w:pPr>
      <w:r>
        <w:rPr>
          <w:rFonts w:eastAsia="方正小标宋_GBK"/>
          <w:sz w:val="44"/>
          <w:szCs w:val="44"/>
        </w:rPr>
        <w:t>2021</w:t>
      </w:r>
      <w:r>
        <w:rPr>
          <w:rFonts w:eastAsia="方正小标宋_GBK"/>
          <w:sz w:val="44"/>
          <w:szCs w:val="44"/>
        </w:rPr>
        <w:t>年度秸秆综合利用目标任务</w:t>
      </w:r>
    </w:p>
    <w:p w:rsidR="00A564EB" w:rsidRDefault="00A564EB">
      <w:pPr>
        <w:pStyle w:val="a0"/>
        <w:spacing w:line="560" w:lineRule="exact"/>
        <w:jc w:val="center"/>
        <w:rPr>
          <w:rFonts w:eastAsia="方正小标宋_GBK"/>
          <w:sz w:val="44"/>
          <w:szCs w:val="44"/>
        </w:rPr>
      </w:pPr>
    </w:p>
    <w:p w:rsidR="00A564EB" w:rsidRDefault="006438FB">
      <w:pPr>
        <w:widowControl/>
        <w:snapToGrid w:val="0"/>
        <w:spacing w:line="560" w:lineRule="exact"/>
        <w:ind w:firstLineChars="200" w:firstLine="640"/>
        <w:rPr>
          <w:rFonts w:eastAsia="仿宋_GB2312"/>
          <w:sz w:val="32"/>
          <w:szCs w:val="32"/>
          <w:shd w:val="clear" w:color="auto" w:fill="FFFFFF"/>
        </w:rPr>
      </w:pPr>
      <w:r>
        <w:rPr>
          <w:rFonts w:eastAsia="楷体_GB2312"/>
          <w:sz w:val="32"/>
          <w:szCs w:val="32"/>
        </w:rPr>
        <w:t>1.</w:t>
      </w:r>
      <w:r>
        <w:rPr>
          <w:rFonts w:eastAsia="楷体_GB2312"/>
          <w:sz w:val="32"/>
          <w:szCs w:val="32"/>
        </w:rPr>
        <w:t>哈尔滨市、绥化市、肇州县、肇源县目标任务。</w:t>
      </w:r>
      <w:r>
        <w:rPr>
          <w:rFonts w:eastAsia="仿宋_GB2312"/>
          <w:sz w:val="32"/>
          <w:szCs w:val="32"/>
          <w:shd w:val="clear" w:color="auto" w:fill="FFFFFF"/>
        </w:rPr>
        <w:t>2021</w:t>
      </w:r>
      <w:r>
        <w:rPr>
          <w:rFonts w:eastAsia="仿宋_GB2312"/>
          <w:sz w:val="32"/>
          <w:szCs w:val="32"/>
          <w:shd w:val="clear" w:color="auto" w:fill="FFFFFF"/>
        </w:rPr>
        <w:t>年度哈尔滨市、绥化市、肇州县、肇源县秸秆综合利用率要稳定在</w:t>
      </w:r>
      <w:r>
        <w:rPr>
          <w:rFonts w:eastAsia="仿宋_GB2312"/>
          <w:sz w:val="32"/>
          <w:szCs w:val="32"/>
          <w:shd w:val="clear" w:color="auto" w:fill="FFFFFF"/>
        </w:rPr>
        <w:t>95%</w:t>
      </w:r>
      <w:r>
        <w:rPr>
          <w:rFonts w:eastAsia="仿宋_GB2312"/>
          <w:sz w:val="32"/>
          <w:szCs w:val="32"/>
          <w:shd w:val="clear" w:color="auto" w:fill="FFFFFF"/>
        </w:rPr>
        <w:t>以上，秸秆还田利用率要稳定在</w:t>
      </w:r>
      <w:r>
        <w:rPr>
          <w:rFonts w:eastAsia="仿宋_GB2312"/>
          <w:sz w:val="32"/>
          <w:szCs w:val="32"/>
          <w:shd w:val="clear" w:color="auto" w:fill="FFFFFF"/>
        </w:rPr>
        <w:t>65%</w:t>
      </w:r>
      <w:r>
        <w:rPr>
          <w:rFonts w:eastAsia="仿宋_GB2312"/>
          <w:sz w:val="32"/>
          <w:szCs w:val="32"/>
          <w:shd w:val="clear" w:color="auto" w:fill="FFFFFF"/>
        </w:rPr>
        <w:t>以上。</w:t>
      </w:r>
    </w:p>
    <w:p w:rsidR="00A564EB" w:rsidRDefault="006438FB">
      <w:pPr>
        <w:widowControl/>
        <w:snapToGrid w:val="0"/>
        <w:spacing w:line="560" w:lineRule="exact"/>
        <w:ind w:firstLineChars="200" w:firstLine="640"/>
        <w:rPr>
          <w:rFonts w:eastAsia="仿宋_GB2312"/>
          <w:sz w:val="32"/>
          <w:szCs w:val="32"/>
          <w:shd w:val="clear" w:color="auto" w:fill="FFFFFF"/>
        </w:rPr>
      </w:pPr>
      <w:r>
        <w:rPr>
          <w:rFonts w:eastAsia="楷体_GB2312"/>
          <w:sz w:val="32"/>
          <w:szCs w:val="32"/>
        </w:rPr>
        <w:t>2.</w:t>
      </w:r>
      <w:r>
        <w:rPr>
          <w:rFonts w:eastAsia="楷体_GB2312"/>
          <w:sz w:val="32"/>
          <w:szCs w:val="32"/>
        </w:rPr>
        <w:t>北大荒农垦集团目标任务。</w:t>
      </w:r>
      <w:r>
        <w:rPr>
          <w:rFonts w:eastAsia="仿宋_GB2312"/>
          <w:sz w:val="32"/>
          <w:szCs w:val="32"/>
          <w:shd w:val="clear" w:color="auto" w:fill="FFFFFF"/>
        </w:rPr>
        <w:t>2021</w:t>
      </w:r>
      <w:r>
        <w:rPr>
          <w:rFonts w:eastAsia="仿宋_GB2312"/>
          <w:sz w:val="32"/>
          <w:szCs w:val="32"/>
          <w:shd w:val="clear" w:color="auto" w:fill="FFFFFF"/>
        </w:rPr>
        <w:t>年度北大荒农垦集团秸秆综合利用率要稳定在</w:t>
      </w:r>
      <w:r>
        <w:rPr>
          <w:rFonts w:eastAsia="仿宋_GB2312"/>
          <w:sz w:val="32"/>
          <w:szCs w:val="32"/>
          <w:shd w:val="clear" w:color="auto" w:fill="FFFFFF"/>
        </w:rPr>
        <w:t>95%</w:t>
      </w:r>
      <w:r>
        <w:rPr>
          <w:rFonts w:eastAsia="仿宋_GB2312"/>
          <w:sz w:val="32"/>
          <w:szCs w:val="32"/>
          <w:shd w:val="clear" w:color="auto" w:fill="FFFFFF"/>
        </w:rPr>
        <w:t>以上，秸秆还田利用率要实现</w:t>
      </w:r>
      <w:r>
        <w:rPr>
          <w:rFonts w:eastAsia="仿宋_GB2312"/>
          <w:sz w:val="32"/>
          <w:szCs w:val="32"/>
          <w:shd w:val="clear" w:color="auto" w:fill="FFFFFF"/>
        </w:rPr>
        <w:t>90%</w:t>
      </w:r>
      <w:r>
        <w:rPr>
          <w:rFonts w:eastAsia="仿宋_GB2312"/>
          <w:sz w:val="32"/>
          <w:szCs w:val="32"/>
          <w:shd w:val="clear" w:color="auto" w:fill="FFFFFF"/>
        </w:rPr>
        <w:t>以上。北大荒农垦集团秸秆综合利用有关工作及相关扶持政策自行拟定，不纳入省级扶持政策范围内。</w:t>
      </w:r>
    </w:p>
    <w:p w:rsidR="00A564EB" w:rsidRDefault="006438FB">
      <w:pPr>
        <w:widowControl/>
        <w:snapToGrid w:val="0"/>
        <w:spacing w:line="560" w:lineRule="exact"/>
        <w:ind w:firstLineChars="200" w:firstLine="640"/>
        <w:rPr>
          <w:rFonts w:eastAsia="仿宋_GB2312"/>
          <w:sz w:val="32"/>
          <w:szCs w:val="32"/>
          <w:shd w:val="clear" w:color="auto" w:fill="FFFFFF"/>
        </w:rPr>
      </w:pPr>
      <w:r>
        <w:rPr>
          <w:rFonts w:eastAsia="楷体_GB2312"/>
          <w:sz w:val="32"/>
          <w:szCs w:val="32"/>
        </w:rPr>
        <w:t>3.</w:t>
      </w:r>
      <w:r>
        <w:rPr>
          <w:rFonts w:eastAsia="楷体_GB2312"/>
          <w:sz w:val="32"/>
          <w:szCs w:val="32"/>
        </w:rPr>
        <w:t>其他地区目标任务。</w:t>
      </w:r>
      <w:r>
        <w:rPr>
          <w:rFonts w:eastAsia="仿宋_GB2312"/>
          <w:sz w:val="32"/>
          <w:szCs w:val="32"/>
          <w:shd w:val="clear" w:color="auto" w:fill="FFFFFF"/>
        </w:rPr>
        <w:t>2021</w:t>
      </w:r>
      <w:r>
        <w:rPr>
          <w:rFonts w:eastAsia="仿宋_GB2312"/>
          <w:sz w:val="32"/>
          <w:szCs w:val="32"/>
          <w:shd w:val="clear" w:color="auto" w:fill="FFFFFF"/>
        </w:rPr>
        <w:t>年度秸秆综合利用率要达到</w:t>
      </w:r>
      <w:r>
        <w:rPr>
          <w:rFonts w:eastAsia="仿宋_GB2312"/>
          <w:sz w:val="32"/>
          <w:szCs w:val="32"/>
          <w:shd w:val="clear" w:color="auto" w:fill="FFFFFF"/>
        </w:rPr>
        <w:t>90%</w:t>
      </w:r>
      <w:r>
        <w:rPr>
          <w:rFonts w:eastAsia="仿宋_GB2312"/>
          <w:sz w:val="32"/>
          <w:szCs w:val="32"/>
          <w:shd w:val="clear" w:color="auto" w:fill="FFFFFF"/>
        </w:rPr>
        <w:t>以上，秸秆还田利用率要达到</w:t>
      </w:r>
      <w:r>
        <w:rPr>
          <w:rFonts w:eastAsia="仿宋_GB2312"/>
          <w:sz w:val="32"/>
          <w:szCs w:val="32"/>
          <w:shd w:val="clear" w:color="auto" w:fill="FFFFFF"/>
        </w:rPr>
        <w:t>60%</w:t>
      </w:r>
      <w:r>
        <w:rPr>
          <w:rFonts w:eastAsia="仿宋_GB2312"/>
          <w:sz w:val="32"/>
          <w:szCs w:val="32"/>
          <w:shd w:val="clear" w:color="auto" w:fill="FFFFFF"/>
        </w:rPr>
        <w:t>以上。其中，</w:t>
      </w:r>
      <w:r>
        <w:rPr>
          <w:rFonts w:eastAsia="仿宋_GB2312"/>
          <w:sz w:val="32"/>
          <w:szCs w:val="32"/>
          <w:shd w:val="clear" w:color="auto" w:fill="FFFFFF"/>
        </w:rPr>
        <w:t>20</w:t>
      </w:r>
      <w:r>
        <w:rPr>
          <w:rFonts w:eastAsia="仿宋_GB2312"/>
          <w:sz w:val="32"/>
          <w:szCs w:val="32"/>
          <w:shd w:val="clear" w:color="auto" w:fill="FFFFFF"/>
        </w:rPr>
        <w:t>个国家秸秆综合利用重点县和</w:t>
      </w:r>
      <w:r>
        <w:rPr>
          <w:rFonts w:eastAsia="仿宋_GB2312"/>
          <w:sz w:val="32"/>
          <w:szCs w:val="32"/>
          <w:shd w:val="clear" w:color="auto" w:fill="FFFFFF"/>
        </w:rPr>
        <w:t>2</w:t>
      </w:r>
      <w:r>
        <w:rPr>
          <w:rFonts w:eastAsia="仿宋_GB2312"/>
          <w:sz w:val="32"/>
          <w:szCs w:val="32"/>
          <w:shd w:val="clear" w:color="auto" w:fill="FFFFFF"/>
        </w:rPr>
        <w:t>个补偿制度试点县秸秆综合利用率达到</w:t>
      </w:r>
      <w:r>
        <w:rPr>
          <w:rFonts w:eastAsia="仿宋_GB2312"/>
          <w:sz w:val="32"/>
          <w:szCs w:val="32"/>
          <w:shd w:val="clear" w:color="auto" w:fill="FFFFFF"/>
        </w:rPr>
        <w:t>90%</w:t>
      </w:r>
      <w:r>
        <w:rPr>
          <w:rFonts w:eastAsia="仿宋_GB2312"/>
          <w:sz w:val="32"/>
          <w:szCs w:val="32"/>
          <w:shd w:val="clear" w:color="auto" w:fill="FFFFFF"/>
        </w:rPr>
        <w:t>或比上年增加</w:t>
      </w:r>
      <w:r>
        <w:rPr>
          <w:rFonts w:eastAsia="仿宋_GB2312"/>
          <w:sz w:val="32"/>
          <w:szCs w:val="32"/>
          <w:shd w:val="clear" w:color="auto" w:fill="FFFFFF"/>
        </w:rPr>
        <w:t>5</w:t>
      </w:r>
      <w:r>
        <w:rPr>
          <w:rFonts w:eastAsia="仿宋_GB2312"/>
          <w:sz w:val="32"/>
          <w:szCs w:val="32"/>
          <w:shd w:val="clear" w:color="auto" w:fill="FFFFFF"/>
        </w:rPr>
        <w:t>个百分点以上。龙江森工集团、伊春森工集团、省监狱管理局、中国融通公司等中直、省直单位农场实行属地化管理，与地方同等任务、同等责任，地方要与其签订秸秆综合利用任务书。</w:t>
      </w:r>
    </w:p>
    <w:p w:rsidR="00A564EB" w:rsidRDefault="006438FB">
      <w:pPr>
        <w:widowControl/>
        <w:snapToGrid w:val="0"/>
        <w:spacing w:line="560" w:lineRule="exact"/>
        <w:ind w:firstLineChars="200" w:firstLine="640"/>
        <w:rPr>
          <w:rFonts w:eastAsia="仿宋_GB2312"/>
          <w:sz w:val="32"/>
          <w:szCs w:val="32"/>
          <w:shd w:val="clear" w:color="auto" w:fill="FFFFFF"/>
        </w:rPr>
      </w:pPr>
      <w:r>
        <w:rPr>
          <w:rFonts w:eastAsia="仿宋_GB2312"/>
          <w:sz w:val="32"/>
          <w:szCs w:val="32"/>
          <w:shd w:val="clear" w:color="auto" w:fill="FFFFFF"/>
        </w:rPr>
        <w:t>对已建成投产且运行稳定的生物质电厂、热电联产项目、固化成型燃料站、原料化企业数量多，离田利用需求大的地区，由市级统筹，在保证完成全市秸秆综合利用和还田利用目</w:t>
      </w:r>
      <w:r>
        <w:rPr>
          <w:rFonts w:eastAsia="仿宋_GB2312"/>
          <w:sz w:val="32"/>
          <w:szCs w:val="32"/>
          <w:shd w:val="clear" w:color="auto" w:fill="FFFFFF"/>
        </w:rPr>
        <w:t>标的基础上，经市级批准，可结合实际适当调整所属县（市、区）秸秆还田率目标，并报省秸秆综合利用工作联席会议办公室备案。</w:t>
      </w:r>
    </w:p>
    <w:p w:rsidR="00A564EB" w:rsidRDefault="006438FB">
      <w:pPr>
        <w:widowControl/>
        <w:jc w:val="left"/>
        <w:rPr>
          <w:rFonts w:eastAsia="华文仿宋"/>
          <w:sz w:val="32"/>
          <w:szCs w:val="32"/>
          <w:shd w:val="clear" w:color="090000" w:fill="FFFFFF"/>
        </w:rPr>
      </w:pPr>
      <w:r>
        <w:rPr>
          <w:rFonts w:eastAsia="华文仿宋"/>
          <w:sz w:val="32"/>
          <w:szCs w:val="32"/>
          <w:shd w:val="clear" w:color="090000" w:fill="FFFFFF"/>
        </w:rPr>
        <w:br w:type="page"/>
      </w:r>
    </w:p>
    <w:p w:rsidR="00A564EB" w:rsidRDefault="006438FB">
      <w:pPr>
        <w:pStyle w:val="a0"/>
        <w:spacing w:line="560" w:lineRule="exact"/>
        <w:rPr>
          <w:rFonts w:eastAsia="华文仿宋"/>
          <w:sz w:val="32"/>
          <w:szCs w:val="32"/>
          <w:shd w:val="clear" w:color="090000" w:fill="FFFFFF"/>
        </w:rPr>
      </w:pPr>
      <w:r>
        <w:rPr>
          <w:rFonts w:eastAsia="华文仿宋"/>
          <w:sz w:val="32"/>
          <w:szCs w:val="32"/>
          <w:shd w:val="clear" w:color="090000" w:fill="FFFFFF"/>
        </w:rPr>
        <w:lastRenderedPageBreak/>
        <w:t>附件</w:t>
      </w:r>
      <w:r>
        <w:rPr>
          <w:rFonts w:eastAsia="华文仿宋"/>
          <w:sz w:val="32"/>
          <w:szCs w:val="32"/>
          <w:shd w:val="clear" w:color="090000" w:fill="FFFFFF"/>
        </w:rPr>
        <w:t>2</w:t>
      </w:r>
      <w:r>
        <w:rPr>
          <w:rFonts w:eastAsia="华文仿宋"/>
          <w:sz w:val="32"/>
          <w:szCs w:val="32"/>
          <w:shd w:val="clear" w:color="090000" w:fill="FFFFFF"/>
        </w:rPr>
        <w:t>：</w:t>
      </w:r>
    </w:p>
    <w:p w:rsidR="00A564EB" w:rsidRDefault="00A564EB">
      <w:pPr>
        <w:pStyle w:val="a0"/>
        <w:ind w:firstLine="420"/>
        <w:jc w:val="center"/>
        <w:rPr>
          <w:rFonts w:eastAsia="方正小标宋_GBK"/>
          <w:sz w:val="44"/>
          <w:szCs w:val="44"/>
        </w:rPr>
      </w:pPr>
    </w:p>
    <w:p w:rsidR="00A564EB" w:rsidRDefault="006438FB">
      <w:pPr>
        <w:pStyle w:val="a0"/>
        <w:ind w:firstLine="420"/>
        <w:jc w:val="center"/>
        <w:rPr>
          <w:rFonts w:eastAsia="方正小标宋_GBK"/>
          <w:sz w:val="44"/>
          <w:szCs w:val="44"/>
        </w:rPr>
      </w:pPr>
      <w:r>
        <w:rPr>
          <w:rFonts w:eastAsia="方正小标宋_GBK"/>
          <w:sz w:val="44"/>
          <w:szCs w:val="44"/>
        </w:rPr>
        <w:t>2021</w:t>
      </w:r>
      <w:r>
        <w:rPr>
          <w:rFonts w:eastAsia="方正小标宋_GBK"/>
          <w:sz w:val="44"/>
          <w:szCs w:val="44"/>
        </w:rPr>
        <w:t>年国家秸秆综合利用重点县（市、区）和补偿制度县（市、区）名单</w:t>
      </w:r>
    </w:p>
    <w:p w:rsidR="00A564EB" w:rsidRDefault="00A564EB">
      <w:pPr>
        <w:spacing w:line="600" w:lineRule="exact"/>
        <w:contextualSpacing/>
        <w:jc w:val="left"/>
        <w:rPr>
          <w:rFonts w:eastAsia="仿宋_GB2312"/>
          <w:sz w:val="32"/>
          <w:szCs w:val="32"/>
          <w:shd w:val="clear" w:color="090000" w:fill="FFFFFF"/>
        </w:rPr>
      </w:pPr>
    </w:p>
    <w:tbl>
      <w:tblPr>
        <w:tblW w:w="9220" w:type="dxa"/>
        <w:jc w:val="center"/>
        <w:tblLayout w:type="fixed"/>
        <w:tblLook w:val="04A0" w:firstRow="1" w:lastRow="0" w:firstColumn="1" w:lastColumn="0" w:noHBand="0" w:noVBand="1"/>
      </w:tblPr>
      <w:tblGrid>
        <w:gridCol w:w="790"/>
        <w:gridCol w:w="2217"/>
        <w:gridCol w:w="1644"/>
        <w:gridCol w:w="789"/>
        <w:gridCol w:w="2135"/>
        <w:gridCol w:w="1645"/>
      </w:tblGrid>
      <w:tr w:rsidR="00A564EB">
        <w:trPr>
          <w:trHeight w:val="658"/>
          <w:jc w:val="center"/>
        </w:trPr>
        <w:tc>
          <w:tcPr>
            <w:tcW w:w="790" w:type="dxa"/>
            <w:tcBorders>
              <w:top w:val="single" w:sz="4" w:space="0" w:color="auto"/>
              <w:left w:val="single" w:sz="4" w:space="0" w:color="auto"/>
              <w:bottom w:val="single" w:sz="4" w:space="0" w:color="auto"/>
              <w:right w:val="single" w:sz="4" w:space="0" w:color="auto"/>
            </w:tcBorders>
            <w:shd w:val="clear" w:color="auto" w:fill="auto"/>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序号</w:t>
            </w:r>
          </w:p>
        </w:tc>
        <w:tc>
          <w:tcPr>
            <w:tcW w:w="2217" w:type="dxa"/>
            <w:tcBorders>
              <w:top w:val="single" w:sz="4" w:space="0" w:color="auto"/>
              <w:left w:val="nil"/>
              <w:bottom w:val="single" w:sz="4" w:space="0" w:color="auto"/>
              <w:right w:val="single" w:sz="4" w:space="0" w:color="auto"/>
            </w:tcBorders>
            <w:shd w:val="clear" w:color="auto" w:fill="auto"/>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县（市、区）</w:t>
            </w:r>
          </w:p>
        </w:tc>
        <w:tc>
          <w:tcPr>
            <w:tcW w:w="1644" w:type="dxa"/>
            <w:tcBorders>
              <w:top w:val="single" w:sz="4" w:space="0" w:color="auto"/>
              <w:left w:val="nil"/>
              <w:bottom w:val="single" w:sz="4" w:space="0" w:color="auto"/>
              <w:right w:val="single" w:sz="4" w:space="0" w:color="auto"/>
            </w:tcBorders>
            <w:shd w:val="clear" w:color="auto" w:fill="auto"/>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备注</w:t>
            </w:r>
          </w:p>
        </w:tc>
        <w:tc>
          <w:tcPr>
            <w:tcW w:w="789" w:type="dxa"/>
            <w:tcBorders>
              <w:top w:val="single" w:sz="4" w:space="0" w:color="auto"/>
              <w:left w:val="nil"/>
              <w:bottom w:val="single" w:sz="4" w:space="0" w:color="auto"/>
              <w:right w:val="single" w:sz="4" w:space="0" w:color="auto"/>
            </w:tcBorders>
            <w:shd w:val="clear" w:color="auto" w:fill="auto"/>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序号</w:t>
            </w:r>
          </w:p>
        </w:tc>
        <w:tc>
          <w:tcPr>
            <w:tcW w:w="2135" w:type="dxa"/>
            <w:tcBorders>
              <w:top w:val="single" w:sz="4" w:space="0" w:color="auto"/>
              <w:left w:val="nil"/>
              <w:bottom w:val="single" w:sz="4" w:space="0" w:color="auto"/>
              <w:right w:val="single" w:sz="4" w:space="0" w:color="auto"/>
            </w:tcBorders>
            <w:shd w:val="clear" w:color="auto" w:fill="auto"/>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县（市、区）</w:t>
            </w:r>
          </w:p>
        </w:tc>
        <w:tc>
          <w:tcPr>
            <w:tcW w:w="1645" w:type="dxa"/>
            <w:tcBorders>
              <w:top w:val="single" w:sz="4" w:space="0" w:color="auto"/>
              <w:left w:val="nil"/>
              <w:bottom w:val="single" w:sz="4" w:space="0" w:color="auto"/>
              <w:right w:val="single" w:sz="4" w:space="0" w:color="auto"/>
            </w:tcBorders>
            <w:shd w:val="clear" w:color="auto" w:fill="auto"/>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备注</w:t>
            </w:r>
          </w:p>
        </w:tc>
      </w:tr>
      <w:tr w:rsidR="00A564EB">
        <w:trPr>
          <w:trHeight w:val="658"/>
          <w:jc w:val="center"/>
        </w:trPr>
        <w:tc>
          <w:tcPr>
            <w:tcW w:w="790" w:type="dxa"/>
            <w:tcBorders>
              <w:top w:val="nil"/>
              <w:left w:val="single" w:sz="4" w:space="0" w:color="auto"/>
              <w:bottom w:val="single" w:sz="4" w:space="0" w:color="auto"/>
              <w:right w:val="single" w:sz="4" w:space="0" w:color="auto"/>
            </w:tcBorders>
            <w:shd w:val="clear" w:color="auto" w:fill="auto"/>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1</w:t>
            </w:r>
          </w:p>
        </w:tc>
        <w:tc>
          <w:tcPr>
            <w:tcW w:w="2217" w:type="dxa"/>
            <w:tcBorders>
              <w:top w:val="nil"/>
              <w:left w:val="nil"/>
              <w:bottom w:val="single" w:sz="4" w:space="0" w:color="auto"/>
              <w:right w:val="single" w:sz="4" w:space="0" w:color="auto"/>
            </w:tcBorders>
            <w:shd w:val="clear" w:color="000000" w:fill="FFFFFF"/>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哈尔滨市双城区</w:t>
            </w:r>
          </w:p>
        </w:tc>
        <w:tc>
          <w:tcPr>
            <w:tcW w:w="1644" w:type="dxa"/>
            <w:tcBorders>
              <w:top w:val="nil"/>
              <w:left w:val="nil"/>
              <w:bottom w:val="single" w:sz="4" w:space="0" w:color="auto"/>
              <w:right w:val="single" w:sz="4" w:space="0" w:color="auto"/>
            </w:tcBorders>
            <w:shd w:val="clear" w:color="000000" w:fill="FFFFFF"/>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重点县</w:t>
            </w:r>
          </w:p>
        </w:tc>
        <w:tc>
          <w:tcPr>
            <w:tcW w:w="789" w:type="dxa"/>
            <w:tcBorders>
              <w:top w:val="nil"/>
              <w:left w:val="nil"/>
              <w:bottom w:val="single" w:sz="4" w:space="0" w:color="auto"/>
              <w:right w:val="single" w:sz="4" w:space="0" w:color="auto"/>
            </w:tcBorders>
            <w:shd w:val="clear" w:color="auto" w:fill="auto"/>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12</w:t>
            </w:r>
          </w:p>
        </w:tc>
        <w:tc>
          <w:tcPr>
            <w:tcW w:w="2135" w:type="dxa"/>
            <w:tcBorders>
              <w:top w:val="nil"/>
              <w:left w:val="nil"/>
              <w:bottom w:val="single" w:sz="4" w:space="0" w:color="auto"/>
              <w:right w:val="single" w:sz="4" w:space="0" w:color="auto"/>
            </w:tcBorders>
            <w:shd w:val="clear" w:color="000000" w:fill="FFFFFF"/>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汤原县</w:t>
            </w:r>
          </w:p>
        </w:tc>
        <w:tc>
          <w:tcPr>
            <w:tcW w:w="1645" w:type="dxa"/>
            <w:tcBorders>
              <w:top w:val="nil"/>
              <w:left w:val="nil"/>
              <w:bottom w:val="single" w:sz="4" w:space="0" w:color="auto"/>
              <w:right w:val="single" w:sz="4" w:space="0" w:color="auto"/>
            </w:tcBorders>
            <w:shd w:val="clear" w:color="auto" w:fill="auto"/>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重点县</w:t>
            </w:r>
          </w:p>
        </w:tc>
      </w:tr>
      <w:tr w:rsidR="00A564EB">
        <w:trPr>
          <w:trHeight w:val="658"/>
          <w:jc w:val="center"/>
        </w:trPr>
        <w:tc>
          <w:tcPr>
            <w:tcW w:w="790" w:type="dxa"/>
            <w:tcBorders>
              <w:top w:val="nil"/>
              <w:left w:val="single" w:sz="4" w:space="0" w:color="auto"/>
              <w:bottom w:val="single" w:sz="4" w:space="0" w:color="auto"/>
              <w:right w:val="single" w:sz="4" w:space="0" w:color="auto"/>
            </w:tcBorders>
            <w:shd w:val="clear" w:color="auto" w:fill="auto"/>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2</w:t>
            </w:r>
          </w:p>
        </w:tc>
        <w:tc>
          <w:tcPr>
            <w:tcW w:w="2217" w:type="dxa"/>
            <w:tcBorders>
              <w:top w:val="nil"/>
              <w:left w:val="nil"/>
              <w:bottom w:val="single" w:sz="4" w:space="0" w:color="auto"/>
              <w:right w:val="single" w:sz="4" w:space="0" w:color="auto"/>
            </w:tcBorders>
            <w:shd w:val="clear" w:color="000000" w:fill="FFFFFF"/>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依兰县</w:t>
            </w:r>
          </w:p>
        </w:tc>
        <w:tc>
          <w:tcPr>
            <w:tcW w:w="1644" w:type="dxa"/>
            <w:tcBorders>
              <w:top w:val="nil"/>
              <w:left w:val="nil"/>
              <w:bottom w:val="single" w:sz="4" w:space="0" w:color="auto"/>
              <w:right w:val="single" w:sz="4" w:space="0" w:color="auto"/>
            </w:tcBorders>
            <w:shd w:val="clear" w:color="000000" w:fill="FFFFFF"/>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重点县</w:t>
            </w:r>
          </w:p>
        </w:tc>
        <w:tc>
          <w:tcPr>
            <w:tcW w:w="789" w:type="dxa"/>
            <w:tcBorders>
              <w:top w:val="nil"/>
              <w:left w:val="nil"/>
              <w:bottom w:val="single" w:sz="4" w:space="0" w:color="auto"/>
              <w:right w:val="single" w:sz="4" w:space="0" w:color="auto"/>
            </w:tcBorders>
            <w:shd w:val="clear" w:color="auto" w:fill="auto"/>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13</w:t>
            </w:r>
          </w:p>
        </w:tc>
        <w:tc>
          <w:tcPr>
            <w:tcW w:w="2135" w:type="dxa"/>
            <w:tcBorders>
              <w:top w:val="nil"/>
              <w:left w:val="nil"/>
              <w:bottom w:val="single" w:sz="4" w:space="0" w:color="auto"/>
              <w:right w:val="single" w:sz="4" w:space="0" w:color="auto"/>
            </w:tcBorders>
            <w:shd w:val="clear" w:color="000000" w:fill="FFFFFF"/>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虎林市</w:t>
            </w:r>
          </w:p>
        </w:tc>
        <w:tc>
          <w:tcPr>
            <w:tcW w:w="1645" w:type="dxa"/>
            <w:tcBorders>
              <w:top w:val="nil"/>
              <w:left w:val="nil"/>
              <w:bottom w:val="single" w:sz="4" w:space="0" w:color="auto"/>
              <w:right w:val="single" w:sz="4" w:space="0" w:color="auto"/>
            </w:tcBorders>
            <w:shd w:val="clear" w:color="auto" w:fill="auto"/>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重点县</w:t>
            </w:r>
          </w:p>
        </w:tc>
      </w:tr>
      <w:tr w:rsidR="00A564EB">
        <w:trPr>
          <w:trHeight w:val="737"/>
          <w:jc w:val="center"/>
        </w:trPr>
        <w:tc>
          <w:tcPr>
            <w:tcW w:w="790" w:type="dxa"/>
            <w:tcBorders>
              <w:top w:val="nil"/>
              <w:left w:val="single" w:sz="4" w:space="0" w:color="auto"/>
              <w:bottom w:val="single" w:sz="4" w:space="0" w:color="auto"/>
              <w:right w:val="single" w:sz="4" w:space="0" w:color="auto"/>
            </w:tcBorders>
            <w:shd w:val="clear" w:color="auto" w:fill="auto"/>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3</w:t>
            </w:r>
          </w:p>
        </w:tc>
        <w:tc>
          <w:tcPr>
            <w:tcW w:w="2217" w:type="dxa"/>
            <w:tcBorders>
              <w:top w:val="nil"/>
              <w:left w:val="nil"/>
              <w:bottom w:val="single" w:sz="4" w:space="0" w:color="auto"/>
              <w:right w:val="single" w:sz="4" w:space="0" w:color="auto"/>
            </w:tcBorders>
            <w:shd w:val="clear" w:color="000000" w:fill="FFFFFF"/>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延寿县</w:t>
            </w:r>
          </w:p>
        </w:tc>
        <w:tc>
          <w:tcPr>
            <w:tcW w:w="1644" w:type="dxa"/>
            <w:tcBorders>
              <w:top w:val="nil"/>
              <w:left w:val="nil"/>
              <w:bottom w:val="single" w:sz="4" w:space="0" w:color="auto"/>
              <w:right w:val="single" w:sz="4" w:space="0" w:color="auto"/>
            </w:tcBorders>
            <w:shd w:val="clear" w:color="000000" w:fill="FFFFFF"/>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补偿制度县</w:t>
            </w:r>
          </w:p>
        </w:tc>
        <w:tc>
          <w:tcPr>
            <w:tcW w:w="789" w:type="dxa"/>
            <w:tcBorders>
              <w:top w:val="nil"/>
              <w:left w:val="nil"/>
              <w:bottom w:val="single" w:sz="4" w:space="0" w:color="auto"/>
              <w:right w:val="single" w:sz="4" w:space="0" w:color="auto"/>
            </w:tcBorders>
            <w:shd w:val="clear" w:color="auto" w:fill="auto"/>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14</w:t>
            </w:r>
          </w:p>
        </w:tc>
        <w:tc>
          <w:tcPr>
            <w:tcW w:w="2135" w:type="dxa"/>
            <w:tcBorders>
              <w:top w:val="nil"/>
              <w:left w:val="nil"/>
              <w:bottom w:val="single" w:sz="4" w:space="0" w:color="auto"/>
              <w:right w:val="single" w:sz="4" w:space="0" w:color="auto"/>
            </w:tcBorders>
            <w:shd w:val="clear" w:color="000000" w:fill="FFFFFF"/>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绥滨县</w:t>
            </w:r>
          </w:p>
        </w:tc>
        <w:tc>
          <w:tcPr>
            <w:tcW w:w="1645" w:type="dxa"/>
            <w:tcBorders>
              <w:top w:val="nil"/>
              <w:left w:val="nil"/>
              <w:bottom w:val="single" w:sz="4" w:space="0" w:color="auto"/>
              <w:right w:val="single" w:sz="4" w:space="0" w:color="auto"/>
            </w:tcBorders>
            <w:shd w:val="clear" w:color="auto" w:fill="auto"/>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重点县</w:t>
            </w:r>
          </w:p>
        </w:tc>
      </w:tr>
      <w:tr w:rsidR="00A564EB">
        <w:trPr>
          <w:trHeight w:val="658"/>
          <w:jc w:val="center"/>
        </w:trPr>
        <w:tc>
          <w:tcPr>
            <w:tcW w:w="790" w:type="dxa"/>
            <w:tcBorders>
              <w:top w:val="nil"/>
              <w:left w:val="single" w:sz="4" w:space="0" w:color="auto"/>
              <w:bottom w:val="single" w:sz="4" w:space="0" w:color="auto"/>
              <w:right w:val="single" w:sz="4" w:space="0" w:color="auto"/>
            </w:tcBorders>
            <w:shd w:val="clear" w:color="auto" w:fill="auto"/>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4</w:t>
            </w:r>
          </w:p>
        </w:tc>
        <w:tc>
          <w:tcPr>
            <w:tcW w:w="2217" w:type="dxa"/>
            <w:tcBorders>
              <w:top w:val="nil"/>
              <w:left w:val="nil"/>
              <w:bottom w:val="single" w:sz="4" w:space="0" w:color="auto"/>
              <w:right w:val="single" w:sz="4" w:space="0" w:color="auto"/>
            </w:tcBorders>
            <w:shd w:val="clear" w:color="000000" w:fill="FFFFFF"/>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龙江县</w:t>
            </w:r>
          </w:p>
        </w:tc>
        <w:tc>
          <w:tcPr>
            <w:tcW w:w="1644" w:type="dxa"/>
            <w:tcBorders>
              <w:top w:val="nil"/>
              <w:left w:val="nil"/>
              <w:bottom w:val="single" w:sz="4" w:space="0" w:color="auto"/>
              <w:right w:val="single" w:sz="4" w:space="0" w:color="auto"/>
            </w:tcBorders>
            <w:shd w:val="clear" w:color="000000" w:fill="FFFFFF"/>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重点县</w:t>
            </w:r>
          </w:p>
        </w:tc>
        <w:tc>
          <w:tcPr>
            <w:tcW w:w="789" w:type="dxa"/>
            <w:tcBorders>
              <w:top w:val="nil"/>
              <w:left w:val="nil"/>
              <w:bottom w:val="single" w:sz="4" w:space="0" w:color="auto"/>
              <w:right w:val="single" w:sz="4" w:space="0" w:color="auto"/>
            </w:tcBorders>
            <w:shd w:val="clear" w:color="auto" w:fill="auto"/>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15</w:t>
            </w:r>
          </w:p>
        </w:tc>
        <w:tc>
          <w:tcPr>
            <w:tcW w:w="2135" w:type="dxa"/>
            <w:tcBorders>
              <w:top w:val="nil"/>
              <w:left w:val="nil"/>
              <w:bottom w:val="single" w:sz="4" w:space="0" w:color="auto"/>
              <w:right w:val="single" w:sz="4" w:space="0" w:color="auto"/>
            </w:tcBorders>
            <w:shd w:val="clear" w:color="000000" w:fill="FFFFFF"/>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饶河县</w:t>
            </w:r>
          </w:p>
        </w:tc>
        <w:tc>
          <w:tcPr>
            <w:tcW w:w="1645" w:type="dxa"/>
            <w:tcBorders>
              <w:top w:val="nil"/>
              <w:left w:val="nil"/>
              <w:bottom w:val="single" w:sz="4" w:space="0" w:color="auto"/>
              <w:right w:val="single" w:sz="4" w:space="0" w:color="auto"/>
            </w:tcBorders>
            <w:shd w:val="clear" w:color="auto" w:fill="auto"/>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重点县</w:t>
            </w:r>
          </w:p>
        </w:tc>
      </w:tr>
      <w:tr w:rsidR="00A564EB">
        <w:trPr>
          <w:trHeight w:val="658"/>
          <w:jc w:val="center"/>
        </w:trPr>
        <w:tc>
          <w:tcPr>
            <w:tcW w:w="790" w:type="dxa"/>
            <w:tcBorders>
              <w:top w:val="nil"/>
              <w:left w:val="single" w:sz="4" w:space="0" w:color="auto"/>
              <w:bottom w:val="single" w:sz="4" w:space="0" w:color="auto"/>
              <w:right w:val="single" w:sz="4" w:space="0" w:color="auto"/>
            </w:tcBorders>
            <w:shd w:val="clear" w:color="auto" w:fill="auto"/>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5</w:t>
            </w:r>
          </w:p>
        </w:tc>
        <w:tc>
          <w:tcPr>
            <w:tcW w:w="2217" w:type="dxa"/>
            <w:tcBorders>
              <w:top w:val="nil"/>
              <w:left w:val="nil"/>
              <w:bottom w:val="single" w:sz="4" w:space="0" w:color="auto"/>
              <w:right w:val="single" w:sz="4" w:space="0" w:color="auto"/>
            </w:tcBorders>
            <w:shd w:val="clear" w:color="000000" w:fill="FFFFFF"/>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依安县</w:t>
            </w:r>
          </w:p>
        </w:tc>
        <w:tc>
          <w:tcPr>
            <w:tcW w:w="1644" w:type="dxa"/>
            <w:tcBorders>
              <w:top w:val="nil"/>
              <w:left w:val="nil"/>
              <w:bottom w:val="single" w:sz="4" w:space="0" w:color="auto"/>
              <w:right w:val="single" w:sz="4" w:space="0" w:color="auto"/>
            </w:tcBorders>
            <w:shd w:val="clear" w:color="000000" w:fill="FFFFFF"/>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重点县</w:t>
            </w:r>
          </w:p>
        </w:tc>
        <w:tc>
          <w:tcPr>
            <w:tcW w:w="789" w:type="dxa"/>
            <w:tcBorders>
              <w:top w:val="nil"/>
              <w:left w:val="nil"/>
              <w:bottom w:val="single" w:sz="4" w:space="0" w:color="auto"/>
              <w:right w:val="single" w:sz="4" w:space="0" w:color="auto"/>
            </w:tcBorders>
            <w:shd w:val="clear" w:color="auto" w:fill="auto"/>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16</w:t>
            </w:r>
          </w:p>
        </w:tc>
        <w:tc>
          <w:tcPr>
            <w:tcW w:w="2135" w:type="dxa"/>
            <w:tcBorders>
              <w:top w:val="nil"/>
              <w:left w:val="nil"/>
              <w:bottom w:val="single" w:sz="4" w:space="0" w:color="auto"/>
              <w:right w:val="single" w:sz="4" w:space="0" w:color="auto"/>
            </w:tcBorders>
            <w:shd w:val="clear" w:color="000000" w:fill="FFFFFF"/>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五大连池市</w:t>
            </w:r>
          </w:p>
        </w:tc>
        <w:tc>
          <w:tcPr>
            <w:tcW w:w="1645" w:type="dxa"/>
            <w:tcBorders>
              <w:top w:val="nil"/>
              <w:left w:val="nil"/>
              <w:bottom w:val="single" w:sz="4" w:space="0" w:color="auto"/>
              <w:right w:val="single" w:sz="4" w:space="0" w:color="auto"/>
            </w:tcBorders>
            <w:shd w:val="clear" w:color="auto" w:fill="auto"/>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重点县</w:t>
            </w:r>
          </w:p>
        </w:tc>
      </w:tr>
      <w:tr w:rsidR="00A564EB">
        <w:trPr>
          <w:trHeight w:val="658"/>
          <w:jc w:val="center"/>
        </w:trPr>
        <w:tc>
          <w:tcPr>
            <w:tcW w:w="790" w:type="dxa"/>
            <w:tcBorders>
              <w:top w:val="nil"/>
              <w:left w:val="single" w:sz="4" w:space="0" w:color="auto"/>
              <w:bottom w:val="single" w:sz="4" w:space="0" w:color="auto"/>
              <w:right w:val="single" w:sz="4" w:space="0" w:color="auto"/>
            </w:tcBorders>
            <w:shd w:val="clear" w:color="auto" w:fill="auto"/>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6</w:t>
            </w:r>
          </w:p>
        </w:tc>
        <w:tc>
          <w:tcPr>
            <w:tcW w:w="2217" w:type="dxa"/>
            <w:tcBorders>
              <w:top w:val="nil"/>
              <w:left w:val="nil"/>
              <w:bottom w:val="single" w:sz="4" w:space="0" w:color="auto"/>
              <w:right w:val="single" w:sz="4" w:space="0" w:color="auto"/>
            </w:tcBorders>
            <w:shd w:val="clear" w:color="000000" w:fill="FFFFFF"/>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甘南县</w:t>
            </w:r>
          </w:p>
        </w:tc>
        <w:tc>
          <w:tcPr>
            <w:tcW w:w="1644" w:type="dxa"/>
            <w:tcBorders>
              <w:top w:val="nil"/>
              <w:left w:val="nil"/>
              <w:bottom w:val="single" w:sz="4" w:space="0" w:color="auto"/>
              <w:right w:val="single" w:sz="4" w:space="0" w:color="auto"/>
            </w:tcBorders>
            <w:shd w:val="clear" w:color="000000" w:fill="FFFFFF"/>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重点县</w:t>
            </w:r>
          </w:p>
        </w:tc>
        <w:tc>
          <w:tcPr>
            <w:tcW w:w="789" w:type="dxa"/>
            <w:tcBorders>
              <w:top w:val="nil"/>
              <w:left w:val="nil"/>
              <w:bottom w:val="single" w:sz="4" w:space="0" w:color="auto"/>
              <w:right w:val="single" w:sz="4" w:space="0" w:color="auto"/>
            </w:tcBorders>
            <w:shd w:val="clear" w:color="auto" w:fill="auto"/>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17</w:t>
            </w:r>
          </w:p>
        </w:tc>
        <w:tc>
          <w:tcPr>
            <w:tcW w:w="2135" w:type="dxa"/>
            <w:tcBorders>
              <w:top w:val="nil"/>
              <w:left w:val="nil"/>
              <w:bottom w:val="single" w:sz="4" w:space="0" w:color="auto"/>
              <w:right w:val="single" w:sz="4" w:space="0" w:color="auto"/>
            </w:tcBorders>
            <w:shd w:val="clear" w:color="000000" w:fill="FFFFFF"/>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逊克县</w:t>
            </w:r>
          </w:p>
        </w:tc>
        <w:tc>
          <w:tcPr>
            <w:tcW w:w="1645" w:type="dxa"/>
            <w:tcBorders>
              <w:top w:val="nil"/>
              <w:left w:val="nil"/>
              <w:bottom w:val="single" w:sz="4" w:space="0" w:color="auto"/>
              <w:right w:val="single" w:sz="4" w:space="0" w:color="auto"/>
            </w:tcBorders>
            <w:shd w:val="clear" w:color="auto" w:fill="auto"/>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重点县</w:t>
            </w:r>
          </w:p>
        </w:tc>
      </w:tr>
      <w:tr w:rsidR="00A564EB">
        <w:trPr>
          <w:trHeight w:val="658"/>
          <w:jc w:val="center"/>
        </w:trPr>
        <w:tc>
          <w:tcPr>
            <w:tcW w:w="790" w:type="dxa"/>
            <w:tcBorders>
              <w:top w:val="nil"/>
              <w:left w:val="single" w:sz="4" w:space="0" w:color="auto"/>
              <w:bottom w:val="single" w:sz="4" w:space="0" w:color="auto"/>
              <w:right w:val="single" w:sz="4" w:space="0" w:color="auto"/>
            </w:tcBorders>
            <w:shd w:val="clear" w:color="auto" w:fill="auto"/>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7</w:t>
            </w:r>
          </w:p>
        </w:tc>
        <w:tc>
          <w:tcPr>
            <w:tcW w:w="2217" w:type="dxa"/>
            <w:tcBorders>
              <w:top w:val="nil"/>
              <w:left w:val="nil"/>
              <w:bottom w:val="single" w:sz="4" w:space="0" w:color="auto"/>
              <w:right w:val="single" w:sz="4" w:space="0" w:color="auto"/>
            </w:tcBorders>
            <w:shd w:val="clear" w:color="000000" w:fill="FFFFFF"/>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拜泉县</w:t>
            </w:r>
          </w:p>
        </w:tc>
        <w:tc>
          <w:tcPr>
            <w:tcW w:w="1644" w:type="dxa"/>
            <w:tcBorders>
              <w:top w:val="nil"/>
              <w:left w:val="nil"/>
              <w:bottom w:val="single" w:sz="4" w:space="0" w:color="auto"/>
              <w:right w:val="single" w:sz="4" w:space="0" w:color="auto"/>
            </w:tcBorders>
            <w:shd w:val="clear" w:color="000000" w:fill="FFFFFF"/>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重点县</w:t>
            </w:r>
          </w:p>
        </w:tc>
        <w:tc>
          <w:tcPr>
            <w:tcW w:w="789" w:type="dxa"/>
            <w:tcBorders>
              <w:top w:val="nil"/>
              <w:left w:val="nil"/>
              <w:bottom w:val="single" w:sz="4" w:space="0" w:color="auto"/>
              <w:right w:val="single" w:sz="4" w:space="0" w:color="auto"/>
            </w:tcBorders>
            <w:shd w:val="clear" w:color="auto" w:fill="auto"/>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18</w:t>
            </w:r>
          </w:p>
        </w:tc>
        <w:tc>
          <w:tcPr>
            <w:tcW w:w="2135" w:type="dxa"/>
            <w:tcBorders>
              <w:top w:val="nil"/>
              <w:left w:val="nil"/>
              <w:bottom w:val="single" w:sz="4" w:space="0" w:color="auto"/>
              <w:right w:val="single" w:sz="4" w:space="0" w:color="auto"/>
            </w:tcBorders>
            <w:shd w:val="clear" w:color="000000" w:fill="FFFFFF"/>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铁力市</w:t>
            </w:r>
          </w:p>
        </w:tc>
        <w:tc>
          <w:tcPr>
            <w:tcW w:w="1645" w:type="dxa"/>
            <w:tcBorders>
              <w:top w:val="nil"/>
              <w:left w:val="nil"/>
              <w:bottom w:val="single" w:sz="4" w:space="0" w:color="auto"/>
              <w:right w:val="single" w:sz="4" w:space="0" w:color="auto"/>
            </w:tcBorders>
            <w:shd w:val="clear" w:color="auto" w:fill="auto"/>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重点县</w:t>
            </w:r>
          </w:p>
        </w:tc>
      </w:tr>
      <w:tr w:rsidR="00A564EB">
        <w:trPr>
          <w:trHeight w:val="658"/>
          <w:jc w:val="center"/>
        </w:trPr>
        <w:tc>
          <w:tcPr>
            <w:tcW w:w="790" w:type="dxa"/>
            <w:tcBorders>
              <w:top w:val="nil"/>
              <w:left w:val="single" w:sz="4" w:space="0" w:color="auto"/>
              <w:bottom w:val="single" w:sz="4" w:space="0" w:color="auto"/>
              <w:right w:val="single" w:sz="4" w:space="0" w:color="auto"/>
            </w:tcBorders>
            <w:shd w:val="clear" w:color="auto" w:fill="auto"/>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8</w:t>
            </w:r>
          </w:p>
        </w:tc>
        <w:tc>
          <w:tcPr>
            <w:tcW w:w="2217" w:type="dxa"/>
            <w:tcBorders>
              <w:top w:val="nil"/>
              <w:left w:val="nil"/>
              <w:bottom w:val="single" w:sz="4" w:space="0" w:color="auto"/>
              <w:right w:val="single" w:sz="4" w:space="0" w:color="auto"/>
            </w:tcBorders>
            <w:shd w:val="clear" w:color="000000" w:fill="FFFFFF"/>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穆棱市</w:t>
            </w:r>
          </w:p>
        </w:tc>
        <w:tc>
          <w:tcPr>
            <w:tcW w:w="1644" w:type="dxa"/>
            <w:tcBorders>
              <w:top w:val="nil"/>
              <w:left w:val="nil"/>
              <w:bottom w:val="single" w:sz="4" w:space="0" w:color="auto"/>
              <w:right w:val="single" w:sz="4" w:space="0" w:color="auto"/>
            </w:tcBorders>
            <w:shd w:val="clear" w:color="000000" w:fill="FFFFFF"/>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重点县</w:t>
            </w:r>
          </w:p>
        </w:tc>
        <w:tc>
          <w:tcPr>
            <w:tcW w:w="789" w:type="dxa"/>
            <w:tcBorders>
              <w:top w:val="nil"/>
              <w:left w:val="nil"/>
              <w:bottom w:val="single" w:sz="4" w:space="0" w:color="auto"/>
              <w:right w:val="single" w:sz="4" w:space="0" w:color="auto"/>
            </w:tcBorders>
            <w:shd w:val="clear" w:color="auto" w:fill="auto"/>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19</w:t>
            </w:r>
          </w:p>
        </w:tc>
        <w:tc>
          <w:tcPr>
            <w:tcW w:w="2135" w:type="dxa"/>
            <w:tcBorders>
              <w:top w:val="nil"/>
              <w:left w:val="nil"/>
              <w:bottom w:val="single" w:sz="4" w:space="0" w:color="auto"/>
              <w:right w:val="single" w:sz="4" w:space="0" w:color="auto"/>
            </w:tcBorders>
            <w:shd w:val="clear" w:color="000000" w:fill="FFFFFF"/>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林甸县</w:t>
            </w:r>
          </w:p>
        </w:tc>
        <w:tc>
          <w:tcPr>
            <w:tcW w:w="1645" w:type="dxa"/>
            <w:tcBorders>
              <w:top w:val="nil"/>
              <w:left w:val="nil"/>
              <w:bottom w:val="single" w:sz="4" w:space="0" w:color="auto"/>
              <w:right w:val="single" w:sz="4" w:space="0" w:color="auto"/>
            </w:tcBorders>
            <w:shd w:val="clear" w:color="auto" w:fill="auto"/>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重点县</w:t>
            </w:r>
          </w:p>
        </w:tc>
      </w:tr>
      <w:tr w:rsidR="00A564EB">
        <w:trPr>
          <w:trHeight w:val="658"/>
          <w:jc w:val="center"/>
        </w:trPr>
        <w:tc>
          <w:tcPr>
            <w:tcW w:w="790" w:type="dxa"/>
            <w:tcBorders>
              <w:top w:val="nil"/>
              <w:left w:val="single" w:sz="4" w:space="0" w:color="auto"/>
              <w:bottom w:val="single" w:sz="4" w:space="0" w:color="auto"/>
              <w:right w:val="single" w:sz="4" w:space="0" w:color="auto"/>
            </w:tcBorders>
            <w:shd w:val="clear" w:color="auto" w:fill="auto"/>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9</w:t>
            </w:r>
          </w:p>
        </w:tc>
        <w:tc>
          <w:tcPr>
            <w:tcW w:w="2217" w:type="dxa"/>
            <w:tcBorders>
              <w:top w:val="nil"/>
              <w:left w:val="nil"/>
              <w:bottom w:val="single" w:sz="4" w:space="0" w:color="auto"/>
              <w:right w:val="single" w:sz="4" w:space="0" w:color="auto"/>
            </w:tcBorders>
            <w:shd w:val="clear" w:color="000000" w:fill="FFFFFF"/>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东宁市</w:t>
            </w:r>
          </w:p>
        </w:tc>
        <w:tc>
          <w:tcPr>
            <w:tcW w:w="1644" w:type="dxa"/>
            <w:tcBorders>
              <w:top w:val="nil"/>
              <w:left w:val="nil"/>
              <w:bottom w:val="single" w:sz="4" w:space="0" w:color="auto"/>
              <w:right w:val="single" w:sz="4" w:space="0" w:color="auto"/>
            </w:tcBorders>
            <w:shd w:val="clear" w:color="000000" w:fill="FFFFFF"/>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重点县</w:t>
            </w:r>
          </w:p>
        </w:tc>
        <w:tc>
          <w:tcPr>
            <w:tcW w:w="789" w:type="dxa"/>
            <w:tcBorders>
              <w:top w:val="nil"/>
              <w:left w:val="nil"/>
              <w:bottom w:val="single" w:sz="4" w:space="0" w:color="auto"/>
              <w:right w:val="single" w:sz="4" w:space="0" w:color="auto"/>
            </w:tcBorders>
            <w:shd w:val="clear" w:color="auto" w:fill="auto"/>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20</w:t>
            </w:r>
          </w:p>
        </w:tc>
        <w:tc>
          <w:tcPr>
            <w:tcW w:w="2135" w:type="dxa"/>
            <w:tcBorders>
              <w:top w:val="nil"/>
              <w:left w:val="nil"/>
              <w:bottom w:val="single" w:sz="4" w:space="0" w:color="auto"/>
              <w:right w:val="single" w:sz="4" w:space="0" w:color="auto"/>
            </w:tcBorders>
            <w:shd w:val="clear" w:color="000000" w:fill="FFFFFF"/>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绥化市北林区</w:t>
            </w:r>
          </w:p>
        </w:tc>
        <w:tc>
          <w:tcPr>
            <w:tcW w:w="1645" w:type="dxa"/>
            <w:tcBorders>
              <w:top w:val="nil"/>
              <w:left w:val="nil"/>
              <w:bottom w:val="single" w:sz="4" w:space="0" w:color="auto"/>
              <w:right w:val="single" w:sz="4" w:space="0" w:color="auto"/>
            </w:tcBorders>
            <w:shd w:val="clear" w:color="auto" w:fill="auto"/>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重点县</w:t>
            </w:r>
          </w:p>
        </w:tc>
      </w:tr>
      <w:tr w:rsidR="00A564EB">
        <w:trPr>
          <w:trHeight w:val="658"/>
          <w:jc w:val="center"/>
        </w:trPr>
        <w:tc>
          <w:tcPr>
            <w:tcW w:w="790" w:type="dxa"/>
            <w:tcBorders>
              <w:top w:val="nil"/>
              <w:left w:val="single" w:sz="4" w:space="0" w:color="auto"/>
              <w:bottom w:val="single" w:sz="4" w:space="0" w:color="auto"/>
              <w:right w:val="single" w:sz="4" w:space="0" w:color="auto"/>
            </w:tcBorders>
            <w:shd w:val="clear" w:color="auto" w:fill="auto"/>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10</w:t>
            </w:r>
          </w:p>
        </w:tc>
        <w:tc>
          <w:tcPr>
            <w:tcW w:w="2217" w:type="dxa"/>
            <w:tcBorders>
              <w:top w:val="nil"/>
              <w:left w:val="nil"/>
              <w:bottom w:val="single" w:sz="4" w:space="0" w:color="auto"/>
              <w:right w:val="single" w:sz="4" w:space="0" w:color="auto"/>
            </w:tcBorders>
            <w:shd w:val="clear" w:color="000000" w:fill="FFFFFF"/>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桦南县</w:t>
            </w:r>
          </w:p>
        </w:tc>
        <w:tc>
          <w:tcPr>
            <w:tcW w:w="1644" w:type="dxa"/>
            <w:tcBorders>
              <w:top w:val="nil"/>
              <w:left w:val="nil"/>
              <w:bottom w:val="single" w:sz="4" w:space="0" w:color="auto"/>
              <w:right w:val="single" w:sz="4" w:space="0" w:color="auto"/>
            </w:tcBorders>
            <w:shd w:val="clear" w:color="000000" w:fill="FFFFFF"/>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重点县</w:t>
            </w:r>
          </w:p>
        </w:tc>
        <w:tc>
          <w:tcPr>
            <w:tcW w:w="789" w:type="dxa"/>
            <w:tcBorders>
              <w:top w:val="nil"/>
              <w:left w:val="nil"/>
              <w:bottom w:val="single" w:sz="4" w:space="0" w:color="auto"/>
              <w:right w:val="single" w:sz="4" w:space="0" w:color="auto"/>
            </w:tcBorders>
            <w:shd w:val="clear" w:color="auto" w:fill="auto"/>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21</w:t>
            </w:r>
          </w:p>
        </w:tc>
        <w:tc>
          <w:tcPr>
            <w:tcW w:w="2135" w:type="dxa"/>
            <w:tcBorders>
              <w:top w:val="nil"/>
              <w:left w:val="nil"/>
              <w:bottom w:val="single" w:sz="4" w:space="0" w:color="auto"/>
              <w:right w:val="single" w:sz="4" w:space="0" w:color="auto"/>
            </w:tcBorders>
            <w:shd w:val="clear" w:color="000000" w:fill="FFFFFF"/>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兰西县</w:t>
            </w:r>
          </w:p>
        </w:tc>
        <w:tc>
          <w:tcPr>
            <w:tcW w:w="1645" w:type="dxa"/>
            <w:tcBorders>
              <w:top w:val="nil"/>
              <w:left w:val="nil"/>
              <w:bottom w:val="single" w:sz="4" w:space="0" w:color="auto"/>
              <w:right w:val="single" w:sz="4" w:space="0" w:color="auto"/>
            </w:tcBorders>
            <w:shd w:val="clear" w:color="auto" w:fill="auto"/>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重点县</w:t>
            </w:r>
          </w:p>
        </w:tc>
      </w:tr>
      <w:tr w:rsidR="00A564EB">
        <w:trPr>
          <w:trHeight w:val="684"/>
          <w:jc w:val="center"/>
        </w:trPr>
        <w:tc>
          <w:tcPr>
            <w:tcW w:w="790" w:type="dxa"/>
            <w:tcBorders>
              <w:top w:val="nil"/>
              <w:left w:val="single" w:sz="4" w:space="0" w:color="auto"/>
              <w:bottom w:val="single" w:sz="4" w:space="0" w:color="auto"/>
              <w:right w:val="single" w:sz="4" w:space="0" w:color="auto"/>
            </w:tcBorders>
            <w:shd w:val="clear" w:color="auto" w:fill="auto"/>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11</w:t>
            </w:r>
          </w:p>
        </w:tc>
        <w:tc>
          <w:tcPr>
            <w:tcW w:w="2217" w:type="dxa"/>
            <w:tcBorders>
              <w:top w:val="nil"/>
              <w:left w:val="nil"/>
              <w:bottom w:val="single" w:sz="4" w:space="0" w:color="auto"/>
              <w:right w:val="single" w:sz="4" w:space="0" w:color="auto"/>
            </w:tcBorders>
            <w:shd w:val="clear" w:color="000000" w:fill="FFFFFF"/>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桦川县</w:t>
            </w:r>
          </w:p>
        </w:tc>
        <w:tc>
          <w:tcPr>
            <w:tcW w:w="1644" w:type="dxa"/>
            <w:tcBorders>
              <w:top w:val="nil"/>
              <w:left w:val="nil"/>
              <w:bottom w:val="single" w:sz="4" w:space="0" w:color="auto"/>
              <w:right w:val="single" w:sz="4" w:space="0" w:color="auto"/>
            </w:tcBorders>
            <w:shd w:val="clear" w:color="000000" w:fill="FFFFFF"/>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重点县</w:t>
            </w:r>
          </w:p>
        </w:tc>
        <w:tc>
          <w:tcPr>
            <w:tcW w:w="789" w:type="dxa"/>
            <w:tcBorders>
              <w:top w:val="nil"/>
              <w:left w:val="nil"/>
              <w:bottom w:val="single" w:sz="4" w:space="0" w:color="auto"/>
              <w:right w:val="single" w:sz="4" w:space="0" w:color="auto"/>
            </w:tcBorders>
            <w:shd w:val="clear" w:color="auto" w:fill="auto"/>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22</w:t>
            </w:r>
          </w:p>
        </w:tc>
        <w:tc>
          <w:tcPr>
            <w:tcW w:w="2135" w:type="dxa"/>
            <w:tcBorders>
              <w:top w:val="nil"/>
              <w:left w:val="nil"/>
              <w:bottom w:val="single" w:sz="4" w:space="0" w:color="auto"/>
              <w:right w:val="single" w:sz="4" w:space="0" w:color="auto"/>
            </w:tcBorders>
            <w:shd w:val="clear" w:color="000000" w:fill="FFFFFF"/>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海伦市</w:t>
            </w:r>
          </w:p>
        </w:tc>
        <w:tc>
          <w:tcPr>
            <w:tcW w:w="1645" w:type="dxa"/>
            <w:tcBorders>
              <w:top w:val="nil"/>
              <w:left w:val="nil"/>
              <w:bottom w:val="single" w:sz="4" w:space="0" w:color="auto"/>
              <w:right w:val="single" w:sz="4" w:space="0" w:color="auto"/>
            </w:tcBorders>
            <w:shd w:val="clear" w:color="000000" w:fill="FFFFFF"/>
            <w:vAlign w:val="center"/>
          </w:tcPr>
          <w:p w:rsidR="00A564EB" w:rsidRDefault="006438FB">
            <w:pPr>
              <w:widowControl/>
              <w:jc w:val="center"/>
              <w:rPr>
                <w:rFonts w:eastAsia="仿宋_GB2312"/>
                <w:color w:val="000000"/>
                <w:kern w:val="0"/>
                <w:sz w:val="28"/>
                <w:szCs w:val="28"/>
              </w:rPr>
            </w:pPr>
            <w:r>
              <w:rPr>
                <w:rFonts w:eastAsia="仿宋_GB2312"/>
                <w:color w:val="000000"/>
                <w:kern w:val="0"/>
                <w:sz w:val="28"/>
                <w:szCs w:val="28"/>
              </w:rPr>
              <w:t>补偿制度县</w:t>
            </w:r>
          </w:p>
        </w:tc>
      </w:tr>
      <w:bookmarkEnd w:id="0"/>
    </w:tbl>
    <w:p w:rsidR="00A564EB" w:rsidRDefault="00A564EB">
      <w:pPr>
        <w:pStyle w:val="a0"/>
        <w:rPr>
          <w:rFonts w:eastAsia="仿宋_GB2312"/>
          <w:sz w:val="32"/>
          <w:szCs w:val="32"/>
        </w:rPr>
      </w:pPr>
    </w:p>
    <w:sectPr w:rsidR="00A564EB">
      <w:headerReference w:type="default" r:id="rId8"/>
      <w:footerReference w:type="default" r:id="rId9"/>
      <w:pgSz w:w="11906" w:h="16838"/>
      <w:pgMar w:top="2098" w:right="1474" w:bottom="1644" w:left="1587" w:header="851" w:footer="992" w:gutter="0"/>
      <w:cols w:space="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38FB" w:rsidRDefault="006438FB">
      <w:r>
        <w:separator/>
      </w:r>
    </w:p>
  </w:endnote>
  <w:endnote w:type="continuationSeparator" w:id="0">
    <w:p w:rsidR="006438FB" w:rsidRDefault="006438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方正小标宋_GBK">
    <w:altName w:val="Microsoft YaHei UI"/>
    <w:charset w:val="86"/>
    <w:family w:val="script"/>
    <w:pitch w:val="default"/>
    <w:sig w:usb0="00000000"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华文仿宋">
    <w:altName w:val="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64EB" w:rsidRDefault="006438FB">
    <w:pPr>
      <w:pStyle w:val="a6"/>
    </w:pPr>
    <w:r>
      <w:rPr>
        <w:noProof/>
      </w:rPr>
      <mc:AlternateContent>
        <mc:Choice Requires="wps">
          <w:drawing>
            <wp:anchor distT="0" distB="0" distL="114300" distR="114300" simplePos="0" relativeHeight="10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miter/>
                      </a:ln>
                      <a:effectLst/>
                    </wps:spPr>
                    <wps:txbx>
                      <w:txbxContent>
                        <w:p w:rsidR="00A564EB" w:rsidRDefault="006438FB">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2F716E">
                            <w:rPr>
                              <w:noProof/>
                              <w:sz w:val="18"/>
                            </w:rPr>
                            <w:t>12</w:t>
                          </w:r>
                          <w:r>
                            <w:rPr>
                              <w:rFonts w:hint="eastAsia"/>
                              <w:sz w:val="18"/>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102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" filled="f" stroked="f">
              <v:textbox style="mso-fit-shape-to-text:t" inset="0,0,0,0">
                <w:txbxContent>
                  <w:p w:rsidR="00A564EB" w:rsidRDefault="006438FB">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2F716E">
                      <w:rPr>
                        <w:noProof/>
                        <w:sz w:val="18"/>
                      </w:rPr>
                      <w:t>12</w:t>
                    </w:r>
                    <w:r>
                      <w:rPr>
                        <w:rFonts w:hint="eastAsia"/>
                        <w:sz w:val="18"/>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38FB" w:rsidRDefault="006438FB">
      <w:r>
        <w:separator/>
      </w:r>
    </w:p>
  </w:footnote>
  <w:footnote w:type="continuationSeparator" w:id="0">
    <w:p w:rsidR="006438FB" w:rsidRDefault="006438F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64EB" w:rsidRDefault="00A564EB">
    <w:pPr>
      <w:pStyle w:val="a7"/>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oNotTrackMoves/>
  <w:defaultTabStop w:val="420"/>
  <w:drawingGridHorizontalSpacing w:val="105"/>
  <w:drawingGridVerticalSpacing w:val="156"/>
  <w:doNotShadeFormData/>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141BA"/>
    <w:rsid w:val="00021D53"/>
    <w:rsid w:val="00023F0B"/>
    <w:rsid w:val="00037ACE"/>
    <w:rsid w:val="00043D63"/>
    <w:rsid w:val="00071648"/>
    <w:rsid w:val="00093520"/>
    <w:rsid w:val="00097959"/>
    <w:rsid w:val="000D5597"/>
    <w:rsid w:val="000E3329"/>
    <w:rsid w:val="000E4297"/>
    <w:rsid w:val="000F346E"/>
    <w:rsid w:val="000F35C4"/>
    <w:rsid w:val="00107E61"/>
    <w:rsid w:val="00111C61"/>
    <w:rsid w:val="00133F1C"/>
    <w:rsid w:val="00136B2A"/>
    <w:rsid w:val="0014283A"/>
    <w:rsid w:val="00146E32"/>
    <w:rsid w:val="00172A27"/>
    <w:rsid w:val="00197C9D"/>
    <w:rsid w:val="001B242E"/>
    <w:rsid w:val="001C5D1A"/>
    <w:rsid w:val="001F1E66"/>
    <w:rsid w:val="00201A59"/>
    <w:rsid w:val="00203947"/>
    <w:rsid w:val="00217C14"/>
    <w:rsid w:val="002256D7"/>
    <w:rsid w:val="00226560"/>
    <w:rsid w:val="002272E4"/>
    <w:rsid w:val="00236260"/>
    <w:rsid w:val="00251945"/>
    <w:rsid w:val="002758D2"/>
    <w:rsid w:val="00280DC3"/>
    <w:rsid w:val="00287ACF"/>
    <w:rsid w:val="002A0775"/>
    <w:rsid w:val="002B67F8"/>
    <w:rsid w:val="002D6D32"/>
    <w:rsid w:val="002E6415"/>
    <w:rsid w:val="002F716E"/>
    <w:rsid w:val="00323D46"/>
    <w:rsid w:val="00330A27"/>
    <w:rsid w:val="003530E9"/>
    <w:rsid w:val="00364622"/>
    <w:rsid w:val="003859D5"/>
    <w:rsid w:val="003B51A7"/>
    <w:rsid w:val="003B6020"/>
    <w:rsid w:val="003C760B"/>
    <w:rsid w:val="003E1484"/>
    <w:rsid w:val="003E79D5"/>
    <w:rsid w:val="00411005"/>
    <w:rsid w:val="004511B1"/>
    <w:rsid w:val="004560FB"/>
    <w:rsid w:val="0045623C"/>
    <w:rsid w:val="00460F28"/>
    <w:rsid w:val="0049414F"/>
    <w:rsid w:val="004C2684"/>
    <w:rsid w:val="004F3710"/>
    <w:rsid w:val="00503C34"/>
    <w:rsid w:val="00532602"/>
    <w:rsid w:val="00542CC7"/>
    <w:rsid w:val="00544686"/>
    <w:rsid w:val="00551799"/>
    <w:rsid w:val="00563134"/>
    <w:rsid w:val="005652CB"/>
    <w:rsid w:val="005664BF"/>
    <w:rsid w:val="0058556A"/>
    <w:rsid w:val="005B2E7D"/>
    <w:rsid w:val="005D33EE"/>
    <w:rsid w:val="005E18F5"/>
    <w:rsid w:val="0060058D"/>
    <w:rsid w:val="00620D38"/>
    <w:rsid w:val="00624B90"/>
    <w:rsid w:val="006438FB"/>
    <w:rsid w:val="006538D4"/>
    <w:rsid w:val="00654BD7"/>
    <w:rsid w:val="00673458"/>
    <w:rsid w:val="00685085"/>
    <w:rsid w:val="0068641D"/>
    <w:rsid w:val="006909FD"/>
    <w:rsid w:val="00691E6C"/>
    <w:rsid w:val="006B5916"/>
    <w:rsid w:val="006C0F6B"/>
    <w:rsid w:val="006F127E"/>
    <w:rsid w:val="00704B28"/>
    <w:rsid w:val="00711B29"/>
    <w:rsid w:val="0073185E"/>
    <w:rsid w:val="00733125"/>
    <w:rsid w:val="00736B36"/>
    <w:rsid w:val="00742109"/>
    <w:rsid w:val="00751B87"/>
    <w:rsid w:val="00754FAE"/>
    <w:rsid w:val="00773F0F"/>
    <w:rsid w:val="00796039"/>
    <w:rsid w:val="00797BF0"/>
    <w:rsid w:val="007A4081"/>
    <w:rsid w:val="007B57EB"/>
    <w:rsid w:val="007C7EB3"/>
    <w:rsid w:val="007E50CA"/>
    <w:rsid w:val="008020BE"/>
    <w:rsid w:val="00804AB7"/>
    <w:rsid w:val="008069A7"/>
    <w:rsid w:val="0081262F"/>
    <w:rsid w:val="0082661F"/>
    <w:rsid w:val="0083153F"/>
    <w:rsid w:val="00832656"/>
    <w:rsid w:val="00840631"/>
    <w:rsid w:val="00841865"/>
    <w:rsid w:val="00851BF6"/>
    <w:rsid w:val="00861CDB"/>
    <w:rsid w:val="008764EC"/>
    <w:rsid w:val="008812F9"/>
    <w:rsid w:val="008900A7"/>
    <w:rsid w:val="0089498C"/>
    <w:rsid w:val="00894E37"/>
    <w:rsid w:val="00895D4E"/>
    <w:rsid w:val="008A0A7A"/>
    <w:rsid w:val="008D0E3B"/>
    <w:rsid w:val="008E7B75"/>
    <w:rsid w:val="008F7C49"/>
    <w:rsid w:val="00907946"/>
    <w:rsid w:val="00920CA0"/>
    <w:rsid w:val="00935DBC"/>
    <w:rsid w:val="00964C30"/>
    <w:rsid w:val="00971882"/>
    <w:rsid w:val="00981C40"/>
    <w:rsid w:val="00995994"/>
    <w:rsid w:val="009C20C8"/>
    <w:rsid w:val="009C368C"/>
    <w:rsid w:val="009C42DF"/>
    <w:rsid w:val="00A00BDD"/>
    <w:rsid w:val="00A07925"/>
    <w:rsid w:val="00A12C3A"/>
    <w:rsid w:val="00A3420C"/>
    <w:rsid w:val="00A446AD"/>
    <w:rsid w:val="00A564EB"/>
    <w:rsid w:val="00A73165"/>
    <w:rsid w:val="00A74BC7"/>
    <w:rsid w:val="00A762B3"/>
    <w:rsid w:val="00A83B46"/>
    <w:rsid w:val="00A84613"/>
    <w:rsid w:val="00AB5C33"/>
    <w:rsid w:val="00AC6C00"/>
    <w:rsid w:val="00AD22BE"/>
    <w:rsid w:val="00AD399B"/>
    <w:rsid w:val="00AD5FA3"/>
    <w:rsid w:val="00AE010B"/>
    <w:rsid w:val="00AF7F3A"/>
    <w:rsid w:val="00B05B71"/>
    <w:rsid w:val="00B14C61"/>
    <w:rsid w:val="00B2093F"/>
    <w:rsid w:val="00B22617"/>
    <w:rsid w:val="00B2339E"/>
    <w:rsid w:val="00B35083"/>
    <w:rsid w:val="00B460CC"/>
    <w:rsid w:val="00B54889"/>
    <w:rsid w:val="00B87096"/>
    <w:rsid w:val="00B90539"/>
    <w:rsid w:val="00BA1170"/>
    <w:rsid w:val="00BB61E5"/>
    <w:rsid w:val="00BC685D"/>
    <w:rsid w:val="00BC6C86"/>
    <w:rsid w:val="00BD2814"/>
    <w:rsid w:val="00BD70CD"/>
    <w:rsid w:val="00BE0D85"/>
    <w:rsid w:val="00C014BF"/>
    <w:rsid w:val="00C12FC5"/>
    <w:rsid w:val="00C136C9"/>
    <w:rsid w:val="00C1487A"/>
    <w:rsid w:val="00C20EFE"/>
    <w:rsid w:val="00C26E93"/>
    <w:rsid w:val="00C333EF"/>
    <w:rsid w:val="00C416E9"/>
    <w:rsid w:val="00C601FA"/>
    <w:rsid w:val="00C64A02"/>
    <w:rsid w:val="00C7180E"/>
    <w:rsid w:val="00C73C99"/>
    <w:rsid w:val="00C767E1"/>
    <w:rsid w:val="00C80600"/>
    <w:rsid w:val="00C80E49"/>
    <w:rsid w:val="00C85A2F"/>
    <w:rsid w:val="00C90832"/>
    <w:rsid w:val="00C913CC"/>
    <w:rsid w:val="00CB0461"/>
    <w:rsid w:val="00CB495E"/>
    <w:rsid w:val="00CC1D88"/>
    <w:rsid w:val="00CC2AB7"/>
    <w:rsid w:val="00CE398E"/>
    <w:rsid w:val="00CE3CF8"/>
    <w:rsid w:val="00CE3F46"/>
    <w:rsid w:val="00D02D34"/>
    <w:rsid w:val="00D40678"/>
    <w:rsid w:val="00D6160B"/>
    <w:rsid w:val="00D7124F"/>
    <w:rsid w:val="00D77630"/>
    <w:rsid w:val="00D90FB1"/>
    <w:rsid w:val="00DA1D31"/>
    <w:rsid w:val="00DA61D5"/>
    <w:rsid w:val="00DB40CE"/>
    <w:rsid w:val="00DB7D12"/>
    <w:rsid w:val="00DD51FB"/>
    <w:rsid w:val="00DD6DA6"/>
    <w:rsid w:val="00DE23AE"/>
    <w:rsid w:val="00E103FF"/>
    <w:rsid w:val="00E15A1A"/>
    <w:rsid w:val="00E2326B"/>
    <w:rsid w:val="00E50AA8"/>
    <w:rsid w:val="00E56CA4"/>
    <w:rsid w:val="00E64139"/>
    <w:rsid w:val="00E65E19"/>
    <w:rsid w:val="00E725DE"/>
    <w:rsid w:val="00E90538"/>
    <w:rsid w:val="00E9365E"/>
    <w:rsid w:val="00EB3551"/>
    <w:rsid w:val="00EC2ADC"/>
    <w:rsid w:val="00ED50C2"/>
    <w:rsid w:val="00EE511B"/>
    <w:rsid w:val="00EF0A0C"/>
    <w:rsid w:val="00EF7CCE"/>
    <w:rsid w:val="00F04E98"/>
    <w:rsid w:val="00F24D58"/>
    <w:rsid w:val="00F318B9"/>
    <w:rsid w:val="00F706A1"/>
    <w:rsid w:val="00FC6D29"/>
    <w:rsid w:val="00FD7E04"/>
    <w:rsid w:val="00FE2FC5"/>
    <w:rsid w:val="02291AAC"/>
    <w:rsid w:val="02DB3E6D"/>
    <w:rsid w:val="04E41024"/>
    <w:rsid w:val="0554538E"/>
    <w:rsid w:val="05CB6C76"/>
    <w:rsid w:val="07ED1479"/>
    <w:rsid w:val="094D6326"/>
    <w:rsid w:val="09AF52E8"/>
    <w:rsid w:val="0A377C9D"/>
    <w:rsid w:val="0CF9177D"/>
    <w:rsid w:val="10630139"/>
    <w:rsid w:val="131D7DE0"/>
    <w:rsid w:val="139B4AAA"/>
    <w:rsid w:val="13DB4AF4"/>
    <w:rsid w:val="140336CB"/>
    <w:rsid w:val="15067D49"/>
    <w:rsid w:val="155124AD"/>
    <w:rsid w:val="15AB0FB7"/>
    <w:rsid w:val="15E91ED5"/>
    <w:rsid w:val="15EF64DE"/>
    <w:rsid w:val="164F1DB8"/>
    <w:rsid w:val="16B47E79"/>
    <w:rsid w:val="182C2559"/>
    <w:rsid w:val="186249FD"/>
    <w:rsid w:val="19F4176D"/>
    <w:rsid w:val="1A7D5B75"/>
    <w:rsid w:val="1B1F599F"/>
    <w:rsid w:val="1C164CD8"/>
    <w:rsid w:val="1E430BDF"/>
    <w:rsid w:val="1E661520"/>
    <w:rsid w:val="204303B9"/>
    <w:rsid w:val="21815370"/>
    <w:rsid w:val="22B64584"/>
    <w:rsid w:val="22ED29DE"/>
    <w:rsid w:val="23264C78"/>
    <w:rsid w:val="23C64A27"/>
    <w:rsid w:val="249917FE"/>
    <w:rsid w:val="2514286E"/>
    <w:rsid w:val="2708505F"/>
    <w:rsid w:val="277120FE"/>
    <w:rsid w:val="284D5346"/>
    <w:rsid w:val="2886359A"/>
    <w:rsid w:val="29993158"/>
    <w:rsid w:val="2A1E5BA2"/>
    <w:rsid w:val="2C2D0192"/>
    <w:rsid w:val="2D5973AB"/>
    <w:rsid w:val="2E6F43AE"/>
    <w:rsid w:val="2F20746D"/>
    <w:rsid w:val="2F586503"/>
    <w:rsid w:val="30266E9D"/>
    <w:rsid w:val="315B2128"/>
    <w:rsid w:val="32857B20"/>
    <w:rsid w:val="33016FCB"/>
    <w:rsid w:val="33A770ED"/>
    <w:rsid w:val="35B757A5"/>
    <w:rsid w:val="38963C6C"/>
    <w:rsid w:val="38F819A1"/>
    <w:rsid w:val="390A1B2B"/>
    <w:rsid w:val="39EB0652"/>
    <w:rsid w:val="3B670758"/>
    <w:rsid w:val="3E5C20DF"/>
    <w:rsid w:val="40F11629"/>
    <w:rsid w:val="41D32A3E"/>
    <w:rsid w:val="437847A4"/>
    <w:rsid w:val="438A5CA2"/>
    <w:rsid w:val="439C5398"/>
    <w:rsid w:val="44F72DB5"/>
    <w:rsid w:val="45352457"/>
    <w:rsid w:val="457B5451"/>
    <w:rsid w:val="46327B64"/>
    <w:rsid w:val="471C47EF"/>
    <w:rsid w:val="472004EC"/>
    <w:rsid w:val="475D5575"/>
    <w:rsid w:val="4A0116A7"/>
    <w:rsid w:val="4AD54A8E"/>
    <w:rsid w:val="4D2D6BF2"/>
    <w:rsid w:val="4FA00713"/>
    <w:rsid w:val="51DC3213"/>
    <w:rsid w:val="5274451F"/>
    <w:rsid w:val="5303312A"/>
    <w:rsid w:val="556075BC"/>
    <w:rsid w:val="558C66AB"/>
    <w:rsid w:val="55A43032"/>
    <w:rsid w:val="56831316"/>
    <w:rsid w:val="57E63401"/>
    <w:rsid w:val="590C1560"/>
    <w:rsid w:val="5AE40321"/>
    <w:rsid w:val="5B2C0540"/>
    <w:rsid w:val="5D255672"/>
    <w:rsid w:val="5D5E5773"/>
    <w:rsid w:val="5D6243B5"/>
    <w:rsid w:val="5E0E640B"/>
    <w:rsid w:val="5E3D7DE8"/>
    <w:rsid w:val="5F882FAB"/>
    <w:rsid w:val="605277BD"/>
    <w:rsid w:val="60BF1175"/>
    <w:rsid w:val="60C07258"/>
    <w:rsid w:val="610C0478"/>
    <w:rsid w:val="62011045"/>
    <w:rsid w:val="62C57A8D"/>
    <w:rsid w:val="643616C2"/>
    <w:rsid w:val="643E39E5"/>
    <w:rsid w:val="67172DB2"/>
    <w:rsid w:val="67FF6F3E"/>
    <w:rsid w:val="699009A8"/>
    <w:rsid w:val="69C25939"/>
    <w:rsid w:val="6A6F262C"/>
    <w:rsid w:val="6B9F6A34"/>
    <w:rsid w:val="6CB61795"/>
    <w:rsid w:val="6D637E58"/>
    <w:rsid w:val="6DBD5CF3"/>
    <w:rsid w:val="6E6B7166"/>
    <w:rsid w:val="6E6E7E1F"/>
    <w:rsid w:val="7011122A"/>
    <w:rsid w:val="702430A7"/>
    <w:rsid w:val="7129087C"/>
    <w:rsid w:val="71365C85"/>
    <w:rsid w:val="71926057"/>
    <w:rsid w:val="72392295"/>
    <w:rsid w:val="74D16F89"/>
    <w:rsid w:val="781732D4"/>
    <w:rsid w:val="782D5882"/>
    <w:rsid w:val="786C59B6"/>
    <w:rsid w:val="789A1532"/>
    <w:rsid w:val="78D11F8E"/>
    <w:rsid w:val="7A4817A4"/>
    <w:rsid w:val="7A9B2342"/>
    <w:rsid w:val="7B8E66C0"/>
    <w:rsid w:val="7BD731AE"/>
    <w:rsid w:val="7BDE1660"/>
    <w:rsid w:val="7C744FEF"/>
    <w:rsid w:val="7E694CD8"/>
    <w:rsid w:val="7EC65A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uiPriority="1" w:unhideWhenUsed="1" w:qFormat="1"/>
    <w:lsdException w:name="Body Text"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after="120"/>
    </w:pPr>
  </w:style>
  <w:style w:type="paragraph" w:styleId="a4">
    <w:name w:val="annotation text"/>
    <w:basedOn w:val="a"/>
    <w:qFormat/>
    <w:pPr>
      <w:jc w:val="left"/>
    </w:pPr>
  </w:style>
  <w:style w:type="paragraph" w:styleId="a5">
    <w:name w:val="Balloon Text"/>
    <w:basedOn w:val="a"/>
    <w:link w:val="Char"/>
    <w:qFormat/>
    <w:rPr>
      <w:sz w:val="18"/>
      <w:szCs w:val="18"/>
    </w:rPr>
  </w:style>
  <w:style w:type="paragraph" w:styleId="a6">
    <w:name w:val="footer"/>
    <w:basedOn w:val="a"/>
    <w:qFormat/>
    <w:pPr>
      <w:tabs>
        <w:tab w:val="center" w:pos="4153"/>
        <w:tab w:val="right" w:pos="8306"/>
      </w:tabs>
      <w:snapToGrid w:val="0"/>
      <w:jc w:val="left"/>
    </w:pPr>
    <w:rPr>
      <w:sz w:val="18"/>
      <w:szCs w:val="18"/>
    </w:rPr>
  </w:style>
  <w:style w:type="paragraph" w:styleId="a7">
    <w:name w:val="header"/>
    <w:basedOn w:val="a"/>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qFormat/>
    <w:pPr>
      <w:jc w:val="left"/>
    </w:pPr>
    <w:rPr>
      <w:rFonts w:ascii="Arial" w:hAnsi="Arial" w:hint="eastAsia"/>
      <w:kern w:val="0"/>
      <w:sz w:val="18"/>
      <w:szCs w:val="18"/>
    </w:rPr>
  </w:style>
  <w:style w:type="character" w:styleId="a9">
    <w:name w:val="FollowedHyperlink"/>
    <w:basedOn w:val="a1"/>
    <w:qFormat/>
    <w:rPr>
      <w:rFonts w:ascii="Times New Roman" w:eastAsia="宋体" w:hAnsi="Times New Roman" w:cs="Times New Roman"/>
      <w:color w:val="800080"/>
      <w:u w:val="none"/>
    </w:rPr>
  </w:style>
  <w:style w:type="character" w:styleId="aa">
    <w:name w:val="Emphasis"/>
    <w:basedOn w:val="a1"/>
    <w:qFormat/>
    <w:rPr>
      <w:i/>
    </w:rPr>
  </w:style>
  <w:style w:type="character" w:styleId="ab">
    <w:name w:val="Hyperlink"/>
    <w:basedOn w:val="a1"/>
    <w:qFormat/>
    <w:rPr>
      <w:rFonts w:ascii="Times New Roman" w:eastAsia="宋体" w:hAnsi="Times New Roman" w:cs="Times New Roman"/>
      <w:color w:val="0000FF"/>
      <w:u w:val="none"/>
    </w:rPr>
  </w:style>
  <w:style w:type="character" w:styleId="ac">
    <w:name w:val="annotation reference"/>
    <w:basedOn w:val="a1"/>
    <w:qFormat/>
    <w:rPr>
      <w:sz w:val="21"/>
      <w:szCs w:val="21"/>
    </w:rPr>
  </w:style>
  <w:style w:type="paragraph" w:customStyle="1" w:styleId="NormalWebNewNew">
    <w:name w:val="Normal (Web) New New"/>
    <w:basedOn w:val="a"/>
    <w:qFormat/>
    <w:pPr>
      <w:spacing w:line="400" w:lineRule="exact"/>
      <w:jc w:val="left"/>
    </w:pPr>
    <w:rPr>
      <w:kern w:val="0"/>
      <w:sz w:val="24"/>
      <w:szCs w:val="21"/>
    </w:rPr>
  </w:style>
  <w:style w:type="paragraph" w:customStyle="1" w:styleId="Bodytext1">
    <w:name w:val="Body text|1"/>
    <w:basedOn w:val="a"/>
    <w:qFormat/>
    <w:pPr>
      <w:spacing w:line="401" w:lineRule="auto"/>
      <w:ind w:firstLine="260"/>
    </w:pPr>
    <w:rPr>
      <w:rFonts w:ascii="宋体" w:hAnsi="宋体" w:cs="宋体"/>
      <w:sz w:val="30"/>
      <w:szCs w:val="30"/>
      <w:lang w:val="zh-TW" w:eastAsia="zh-TW" w:bidi="zh-TW"/>
    </w:rPr>
  </w:style>
  <w:style w:type="character" w:customStyle="1" w:styleId="Char">
    <w:name w:val="批注框文本 Char"/>
    <w:basedOn w:val="a1"/>
    <w:link w:val="a5"/>
    <w:qFormat/>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uiPriority="1" w:unhideWhenUsed="1" w:qFormat="1"/>
    <w:lsdException w:name="Body Text"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after="120"/>
    </w:pPr>
  </w:style>
  <w:style w:type="paragraph" w:styleId="a4">
    <w:name w:val="annotation text"/>
    <w:basedOn w:val="a"/>
    <w:qFormat/>
    <w:pPr>
      <w:jc w:val="left"/>
    </w:pPr>
  </w:style>
  <w:style w:type="paragraph" w:styleId="a5">
    <w:name w:val="Balloon Text"/>
    <w:basedOn w:val="a"/>
    <w:link w:val="Char"/>
    <w:qFormat/>
    <w:rPr>
      <w:sz w:val="18"/>
      <w:szCs w:val="18"/>
    </w:rPr>
  </w:style>
  <w:style w:type="paragraph" w:styleId="a6">
    <w:name w:val="footer"/>
    <w:basedOn w:val="a"/>
    <w:qFormat/>
    <w:pPr>
      <w:tabs>
        <w:tab w:val="center" w:pos="4153"/>
        <w:tab w:val="right" w:pos="8306"/>
      </w:tabs>
      <w:snapToGrid w:val="0"/>
      <w:jc w:val="left"/>
    </w:pPr>
    <w:rPr>
      <w:sz w:val="18"/>
      <w:szCs w:val="18"/>
    </w:rPr>
  </w:style>
  <w:style w:type="paragraph" w:styleId="a7">
    <w:name w:val="header"/>
    <w:basedOn w:val="a"/>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qFormat/>
    <w:pPr>
      <w:jc w:val="left"/>
    </w:pPr>
    <w:rPr>
      <w:rFonts w:ascii="Arial" w:hAnsi="Arial" w:hint="eastAsia"/>
      <w:kern w:val="0"/>
      <w:sz w:val="18"/>
      <w:szCs w:val="18"/>
    </w:rPr>
  </w:style>
  <w:style w:type="character" w:styleId="a9">
    <w:name w:val="FollowedHyperlink"/>
    <w:basedOn w:val="a1"/>
    <w:qFormat/>
    <w:rPr>
      <w:rFonts w:ascii="Times New Roman" w:eastAsia="宋体" w:hAnsi="Times New Roman" w:cs="Times New Roman"/>
      <w:color w:val="800080"/>
      <w:u w:val="none"/>
    </w:rPr>
  </w:style>
  <w:style w:type="character" w:styleId="aa">
    <w:name w:val="Emphasis"/>
    <w:basedOn w:val="a1"/>
    <w:qFormat/>
    <w:rPr>
      <w:i/>
    </w:rPr>
  </w:style>
  <w:style w:type="character" w:styleId="ab">
    <w:name w:val="Hyperlink"/>
    <w:basedOn w:val="a1"/>
    <w:qFormat/>
    <w:rPr>
      <w:rFonts w:ascii="Times New Roman" w:eastAsia="宋体" w:hAnsi="Times New Roman" w:cs="Times New Roman"/>
      <w:color w:val="0000FF"/>
      <w:u w:val="none"/>
    </w:rPr>
  </w:style>
  <w:style w:type="character" w:styleId="ac">
    <w:name w:val="annotation reference"/>
    <w:basedOn w:val="a1"/>
    <w:qFormat/>
    <w:rPr>
      <w:sz w:val="21"/>
      <w:szCs w:val="21"/>
    </w:rPr>
  </w:style>
  <w:style w:type="paragraph" w:customStyle="1" w:styleId="NormalWebNewNew">
    <w:name w:val="Normal (Web) New New"/>
    <w:basedOn w:val="a"/>
    <w:qFormat/>
    <w:pPr>
      <w:spacing w:line="400" w:lineRule="exact"/>
      <w:jc w:val="left"/>
    </w:pPr>
    <w:rPr>
      <w:kern w:val="0"/>
      <w:sz w:val="24"/>
      <w:szCs w:val="21"/>
    </w:rPr>
  </w:style>
  <w:style w:type="paragraph" w:customStyle="1" w:styleId="Bodytext1">
    <w:name w:val="Body text|1"/>
    <w:basedOn w:val="a"/>
    <w:qFormat/>
    <w:pPr>
      <w:spacing w:line="401" w:lineRule="auto"/>
      <w:ind w:firstLine="260"/>
    </w:pPr>
    <w:rPr>
      <w:rFonts w:ascii="宋体" w:hAnsi="宋体" w:cs="宋体"/>
      <w:sz w:val="30"/>
      <w:szCs w:val="30"/>
      <w:lang w:val="zh-TW" w:eastAsia="zh-TW" w:bidi="zh-TW"/>
    </w:rPr>
  </w:style>
  <w:style w:type="character" w:customStyle="1" w:styleId="Char">
    <w:name w:val="批注框文本 Char"/>
    <w:basedOn w:val="a1"/>
    <w:link w:val="a5"/>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851</Words>
  <Characters>4852</Characters>
  <Application>Microsoft Office Word</Application>
  <DocSecurity>0</DocSecurity>
  <Lines>40</Lines>
  <Paragraphs>11</Paragraphs>
  <ScaleCrop>false</ScaleCrop>
  <Company>user</Company>
  <LinksUpToDate>false</LinksUpToDate>
  <CharactersWithSpaces>5692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黑龙江省2016年玉米生产补贴实施方案</dc:title>
  <dc:creator>user</dc:creator>
  <cp:lastModifiedBy>xb21cn</cp:lastModifiedBy>
  <cp:revision>2</cp:revision>
  <cp:lastPrinted>2019-09-05T03:06:00Z</cp:lastPrinted>
  <dcterms:created xsi:type="dcterms:W3CDTF">2021-09-02T07:35:00Z</dcterms:created>
  <dcterms:modified xsi:type="dcterms:W3CDTF">2021-09-02T07:35:00Z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2052-10.8.0.5562</vt:lpwstr>
  </property>
</Properties>
</file>